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409E" w14:textId="3FA0E463" w:rsidR="00084C92" w:rsidRPr="00613C4A" w:rsidRDefault="00084C92" w:rsidP="00084C92">
      <w:pPr>
        <w:pStyle w:val="af4"/>
      </w:pPr>
      <w:bookmarkStart w:id="0" w:name="_Hlk132900185"/>
      <w:r w:rsidRPr="00613C4A">
        <w:rPr>
          <w:rFonts w:eastAsia="宋体"/>
        </w:rPr>
        <w:t>Supplementary material</w:t>
      </w:r>
      <w:bookmarkEnd w:id="0"/>
    </w:p>
    <w:p w14:paraId="02FF6B64" w14:textId="77777777" w:rsidR="00084C92" w:rsidRPr="00613C4A" w:rsidRDefault="00084C92">
      <w:pPr>
        <w:ind w:firstLine="420"/>
      </w:pPr>
    </w:p>
    <w:p w14:paraId="52FB3826" w14:textId="58A98ED4" w:rsidR="00755E85" w:rsidRPr="00613C4A" w:rsidRDefault="00755E85" w:rsidP="003E76CA">
      <w:pPr>
        <w:pStyle w:val="1"/>
        <w:spacing w:before="240" w:after="240"/>
      </w:pPr>
      <w:r w:rsidRPr="00613C4A">
        <w:t>Methods</w:t>
      </w:r>
    </w:p>
    <w:p w14:paraId="4D92BE64" w14:textId="7BD94DCD" w:rsidR="00EA70F4" w:rsidRPr="00613C4A" w:rsidRDefault="00EA70F4" w:rsidP="00EA70F4">
      <w:pPr>
        <w:autoSpaceDE w:val="0"/>
        <w:autoSpaceDN w:val="0"/>
        <w:adjustRightInd w:val="0"/>
        <w:ind w:firstLine="422"/>
        <w:rPr>
          <w:b/>
          <w:bCs/>
        </w:rPr>
      </w:pPr>
      <w:r w:rsidRPr="00613C4A">
        <w:rPr>
          <w:b/>
          <w:bCs/>
        </w:rPr>
        <w:t>Donor management</w:t>
      </w:r>
    </w:p>
    <w:p w14:paraId="17EC9E3A" w14:textId="7227DEFC" w:rsidR="00EA70F4" w:rsidRPr="00613C4A" w:rsidRDefault="00EA70F4" w:rsidP="003E76CA">
      <w:pPr>
        <w:ind w:firstLine="420"/>
      </w:pPr>
      <w:r w:rsidRPr="00613C4A">
        <w:t xml:space="preserve">All donors had poor neurological outcomes, which were confirmed by various tests such as brain computed tomography, electroencephalogram, evoked potentials, and neurological consultation. These investigations revealed that the neurological condition was irreversible. The retrieval of organs was documented by the Transplantation Informative System and other clinical documents. </w:t>
      </w:r>
      <w:r w:rsidR="00E47C27" w:rsidRPr="00613C4A">
        <w:t>The c</w:t>
      </w:r>
      <w:r w:rsidRPr="00613C4A">
        <w:t xml:space="preserve">onsent for organ donation was obtained either from the donors themselves or their family members, and everything was handled in accordance with Article 23 of Italian Law 91/1999. </w:t>
      </w:r>
      <w:r w:rsidR="003E76CA" w:rsidRPr="00613C4A">
        <w:t>“</w:t>
      </w:r>
      <w:r w:rsidR="00B72697" w:rsidRPr="00613C4A">
        <w:t>All donors who donated for DCD (Donation after Cardiac Death) were classified as Maastricht III according to the classification system used for organ donation.</w:t>
      </w:r>
      <w:r w:rsidR="003E76CA" w:rsidRPr="00613C4A">
        <w:t>”</w:t>
      </w:r>
    </w:p>
    <w:p w14:paraId="79137B34" w14:textId="77777777" w:rsidR="00EA70F4" w:rsidRPr="00613C4A" w:rsidRDefault="00EA70F4" w:rsidP="00EA70F4">
      <w:pPr>
        <w:autoSpaceDE w:val="0"/>
        <w:autoSpaceDN w:val="0"/>
        <w:adjustRightInd w:val="0"/>
        <w:ind w:firstLine="420"/>
      </w:pPr>
    </w:p>
    <w:p w14:paraId="14466CC8" w14:textId="61D03A29" w:rsidR="00EA70F4" w:rsidRPr="00613C4A" w:rsidRDefault="00EA70F4" w:rsidP="00EA70F4">
      <w:pPr>
        <w:autoSpaceDE w:val="0"/>
        <w:autoSpaceDN w:val="0"/>
        <w:adjustRightInd w:val="0"/>
        <w:ind w:firstLine="422"/>
        <w:rPr>
          <w:b/>
          <w:bCs/>
        </w:rPr>
      </w:pPr>
      <w:r w:rsidRPr="00613C4A">
        <w:rPr>
          <w:b/>
          <w:bCs/>
        </w:rPr>
        <w:t>DCD technique protocol</w:t>
      </w:r>
    </w:p>
    <w:p w14:paraId="4E23BAE0" w14:textId="31A03012" w:rsidR="00EA70F4" w:rsidRPr="00613C4A" w:rsidRDefault="00EA70F4" w:rsidP="003E76CA">
      <w:pPr>
        <w:ind w:firstLine="420"/>
      </w:pPr>
      <w:r w:rsidRPr="00613C4A">
        <w:t xml:space="preserve">According to Italian law (29 December 1993 n.578, and the decree of the Italian Minister of Health 11 April 2008), </w:t>
      </w:r>
      <w:r w:rsidR="00E47C27" w:rsidRPr="00613C4A">
        <w:t>various criteria determine</w:t>
      </w:r>
      <w:r w:rsidRPr="00613C4A">
        <w:t xml:space="preserve"> when death can be declared and organ retrieval can begin. This includes 20 minutes of </w:t>
      </w:r>
      <w:r w:rsidR="00E47C27" w:rsidRPr="00613C4A">
        <w:t>asystole</w:t>
      </w:r>
      <w:r w:rsidRPr="00613C4A">
        <w:t xml:space="preserve">. </w:t>
      </w:r>
      <w:r w:rsidR="00D1022E" w:rsidRPr="00613C4A">
        <w:t>A patient</w:t>
      </w:r>
      <w:r w:rsidR="003E76CA" w:rsidRPr="00613C4A">
        <w:t>’</w:t>
      </w:r>
      <w:r w:rsidR="00D1022E" w:rsidRPr="00613C4A">
        <w:t>s suitability</w:t>
      </w:r>
      <w:r w:rsidRPr="00613C4A">
        <w:t xml:space="preserve"> for organ donation is assessed based on their medical and social history, clinical status, clinical examination, and laboratory test results. After 20 minutes of continuous asystole resulting in cardiac death, Normothermic Reperfusion (</w:t>
      </w:r>
      <w:proofErr w:type="spellStart"/>
      <w:r w:rsidRPr="00613C4A">
        <w:t>NrP</w:t>
      </w:r>
      <w:proofErr w:type="spellEnd"/>
      <w:r w:rsidRPr="00613C4A">
        <w:t xml:space="preserve">) was established by cannulating the femoral artery and vein. A Fogarty catheter was then placed into the contralateral femoral artery after systemic donor heparinization. The catheter was inflated at the level occlusion of the </w:t>
      </w:r>
      <w:proofErr w:type="spellStart"/>
      <w:r w:rsidRPr="00613C4A">
        <w:t>supraceliac</w:t>
      </w:r>
      <w:proofErr w:type="spellEnd"/>
      <w:r w:rsidRPr="00613C4A">
        <w:t xml:space="preserve"> aorta to exclude the supradiaphragmatic circle. The cannulas were connected through an extracorporeal circuit (ECMO, extracorporeal membrane oxygenator)</w:t>
      </w:r>
      <w:r w:rsidR="005D3005" w:rsidRPr="00613C4A">
        <w:t xml:space="preserve"> (Getinge</w:t>
      </w:r>
      <w:r w:rsidR="00182CA9" w:rsidRPr="00613C4A">
        <w:rPr>
          <w:rFonts w:cstheme="minorHAnsi"/>
        </w:rPr>
        <w:t>®</w:t>
      </w:r>
      <w:r w:rsidR="00A70C85" w:rsidRPr="00613C4A">
        <w:t>, Goteborg</w:t>
      </w:r>
      <w:r w:rsidR="009F700B" w:rsidRPr="00613C4A">
        <w:t xml:space="preserve"> Sweden</w:t>
      </w:r>
      <w:r w:rsidR="007652E8" w:rsidRPr="00613C4A">
        <w:t>)</w:t>
      </w:r>
      <w:r w:rsidR="00182CA9" w:rsidRPr="00613C4A">
        <w:t>)</w:t>
      </w:r>
      <w:r w:rsidRPr="00613C4A">
        <w:t>, and were</w:t>
      </w:r>
      <w:r w:rsidR="00D1022E" w:rsidRPr="00613C4A">
        <w:t xml:space="preserve"> </w:t>
      </w:r>
      <w:r w:rsidRPr="00613C4A">
        <w:t>that was composed of a centrifugal pump, an oxygenator and a heat-cooler exchanger. Regional perfusion was performed under normothermic conditions (37</w:t>
      </w:r>
      <w:r w:rsidR="003E76CA" w:rsidRPr="00613C4A">
        <w:t xml:space="preserve"> </w:t>
      </w:r>
      <w:r w:rsidRPr="00613C4A">
        <w:t xml:space="preserve">°C) using autologous donor blood. </w:t>
      </w:r>
      <w:proofErr w:type="spellStart"/>
      <w:r w:rsidRPr="00613C4A">
        <w:t>N</w:t>
      </w:r>
      <w:r w:rsidR="00E47C27" w:rsidRPr="00613C4A">
        <w:t>r</w:t>
      </w:r>
      <w:r w:rsidRPr="00613C4A">
        <w:t>P</w:t>
      </w:r>
      <w:proofErr w:type="spellEnd"/>
      <w:r w:rsidRPr="00613C4A">
        <w:t xml:space="preserve"> has been performed in combination with the </w:t>
      </w:r>
      <w:proofErr w:type="spellStart"/>
      <w:r w:rsidRPr="00613C4A">
        <w:t>CytoSorb</w:t>
      </w:r>
      <w:proofErr w:type="spellEnd"/>
      <w:r w:rsidRPr="00613C4A">
        <w:t>® cartridge (</w:t>
      </w:r>
      <w:proofErr w:type="spellStart"/>
      <w:r w:rsidRPr="00613C4A">
        <w:t>Aferetica</w:t>
      </w:r>
      <w:proofErr w:type="spellEnd"/>
      <w:r w:rsidRPr="00613C4A">
        <w:t xml:space="preserve">, Italy). The </w:t>
      </w:r>
      <w:proofErr w:type="spellStart"/>
      <w:r w:rsidRPr="00613C4A">
        <w:t>CytoSorb</w:t>
      </w:r>
      <w:proofErr w:type="spellEnd"/>
      <w:r w:rsidRPr="00613C4A">
        <w:t xml:space="preserve"> cartridge was connected in parallel with the main ECMO circuit (cartridge blood inlet in the positive pressure post-oxygenator, cartridge blood outlet in negative pressure pre-pump).</w:t>
      </w:r>
    </w:p>
    <w:p w14:paraId="4BC4F413" w14:textId="46018677" w:rsidR="00EA70F4" w:rsidRPr="00613C4A" w:rsidRDefault="00EA70F4" w:rsidP="003E76CA">
      <w:pPr>
        <w:ind w:firstLine="420"/>
      </w:pPr>
      <w:r w:rsidRPr="00613C4A">
        <w:t>The withdrawal of treatment was delayed until the procurement and retrieval team had made their necessary preparations in the ICU. Meanwhile, the perfusion unit, which consisted of different members than those involved in the decision-making process around the withdrawal of treatment, was notified by phone. When systolic pressure started to fall below 100 mmHg, the perfusion unit prepared for organ recovery and subsequent retrieval procurement. The ICU</w:t>
      </w:r>
      <w:r w:rsidR="003E76CA" w:rsidRPr="00613C4A">
        <w:t>’</w:t>
      </w:r>
      <w:r w:rsidRPr="00613C4A">
        <w:t>s team was previously trained to manage vascular access, the aortic balloon and arterial/venous cannula positioning. The presence of a technical perfusionist allowed ECMO procedures to be conducted under normothermic conditions for regional perfusion and subsequent organ recovery.</w:t>
      </w:r>
    </w:p>
    <w:p w14:paraId="03ED3EA0" w14:textId="77777777" w:rsidR="00425263" w:rsidRPr="00613C4A" w:rsidRDefault="00425263" w:rsidP="00EA70F4">
      <w:pPr>
        <w:autoSpaceDE w:val="0"/>
        <w:autoSpaceDN w:val="0"/>
        <w:adjustRightInd w:val="0"/>
        <w:ind w:firstLine="420"/>
      </w:pPr>
    </w:p>
    <w:p w14:paraId="1ACE2241" w14:textId="15748006" w:rsidR="00425263" w:rsidRPr="00613C4A" w:rsidRDefault="00425263" w:rsidP="00425263">
      <w:pPr>
        <w:autoSpaceDE w:val="0"/>
        <w:autoSpaceDN w:val="0"/>
        <w:adjustRightInd w:val="0"/>
        <w:ind w:firstLine="422"/>
        <w:rPr>
          <w:b/>
          <w:bCs/>
        </w:rPr>
      </w:pPr>
      <w:r w:rsidRPr="00613C4A">
        <w:rPr>
          <w:b/>
          <w:bCs/>
        </w:rPr>
        <w:t>Karpinski</w:t>
      </w:r>
      <w:r w:rsidR="003E76CA" w:rsidRPr="00613C4A">
        <w:rPr>
          <w:b/>
          <w:bCs/>
        </w:rPr>
        <w:t>’</w:t>
      </w:r>
      <w:r w:rsidRPr="00613C4A">
        <w:rPr>
          <w:b/>
          <w:bCs/>
        </w:rPr>
        <w:t>s score</w:t>
      </w:r>
    </w:p>
    <w:p w14:paraId="7104C983" w14:textId="2EE2743B" w:rsidR="00425263" w:rsidRPr="00613C4A" w:rsidRDefault="00425263" w:rsidP="00425263">
      <w:pPr>
        <w:autoSpaceDE w:val="0"/>
        <w:autoSpaceDN w:val="0"/>
        <w:adjustRightInd w:val="0"/>
        <w:ind w:firstLine="420"/>
      </w:pPr>
      <w:r w:rsidRPr="00613C4A">
        <w:t xml:space="preserve">This </w:t>
      </w:r>
      <w:r w:rsidR="006C366D" w:rsidRPr="00613C4A">
        <w:t>histologic score</w:t>
      </w:r>
      <w:r w:rsidRPr="00613C4A">
        <w:t xml:space="preserve"> evaluates chronic lesions in each compartment of the renal parenchyma, which is useful in assessing whether the kidneys are suitable for transplantation (single or double) or unsuitable.</w:t>
      </w:r>
    </w:p>
    <w:p w14:paraId="5FB3A5BE" w14:textId="77777777" w:rsidR="00425263" w:rsidRPr="00613C4A" w:rsidRDefault="00425263" w:rsidP="00425263">
      <w:pPr>
        <w:autoSpaceDE w:val="0"/>
        <w:autoSpaceDN w:val="0"/>
        <w:adjustRightInd w:val="0"/>
        <w:ind w:firstLine="420"/>
      </w:pPr>
      <w:r w:rsidRPr="00613C4A">
        <w:t>The score involves a semi-quantitative analysis, assigning a score between 0 and 3 for the following morphological components:</w:t>
      </w:r>
    </w:p>
    <w:p w14:paraId="09EA4D4F" w14:textId="12C0E6B5" w:rsidR="00425263" w:rsidRPr="00613C4A" w:rsidRDefault="00425263" w:rsidP="00425263">
      <w:pPr>
        <w:autoSpaceDE w:val="0"/>
        <w:autoSpaceDN w:val="0"/>
        <w:adjustRightInd w:val="0"/>
        <w:ind w:firstLine="420"/>
      </w:pPr>
      <w:r w:rsidRPr="00613C4A">
        <w:t xml:space="preserve">- degree of glomerulosclerosis: the anatomic pathologist, to calculate the glomerular score, </w:t>
      </w:r>
      <w:r w:rsidR="00924EDF" w:rsidRPr="00613C4A">
        <w:t>counts</w:t>
      </w:r>
      <w:r w:rsidRPr="00613C4A">
        <w:t xml:space="preserve"> the total number of glomeruli, both healthy and sclerotic, present for each section in the prepared slide. He</w:t>
      </w:r>
      <w:r w:rsidR="00924EDF" w:rsidRPr="00613C4A">
        <w:t xml:space="preserve"> </w:t>
      </w:r>
      <w:r w:rsidRPr="00613C4A">
        <w:t>then calculate</w:t>
      </w:r>
      <w:r w:rsidR="00924EDF" w:rsidRPr="00613C4A">
        <w:t>s</w:t>
      </w:r>
      <w:r w:rsidRPr="00613C4A">
        <w:t xml:space="preserve"> the score by evaluating the percentage of sclerotic glomeruli to the total.</w:t>
      </w:r>
    </w:p>
    <w:p w14:paraId="7CA476A9" w14:textId="4EF311A2" w:rsidR="00425263" w:rsidRPr="00613C4A" w:rsidRDefault="00425263" w:rsidP="00425263">
      <w:pPr>
        <w:autoSpaceDE w:val="0"/>
        <w:autoSpaceDN w:val="0"/>
        <w:adjustRightInd w:val="0"/>
        <w:ind w:firstLine="420"/>
      </w:pPr>
      <w:r w:rsidRPr="00613C4A">
        <w:t xml:space="preserve">- Tubular atrophy: </w:t>
      </w:r>
      <w:r w:rsidR="00924EDF" w:rsidRPr="00613C4A">
        <w:t>t</w:t>
      </w:r>
      <w:r w:rsidRPr="00613C4A">
        <w:t xml:space="preserve">his </w:t>
      </w:r>
      <w:r w:rsidR="00924EDF" w:rsidRPr="00613C4A">
        <w:t>consists of</w:t>
      </w:r>
      <w:r w:rsidRPr="00613C4A">
        <w:t xml:space="preserve"> primary damage to the renal tubules and </w:t>
      </w:r>
      <w:proofErr w:type="spellStart"/>
      <w:r w:rsidRPr="00613C4A">
        <w:t>interstitium</w:t>
      </w:r>
      <w:proofErr w:type="spellEnd"/>
      <w:r w:rsidRPr="00613C4A">
        <w:t xml:space="preserve"> that causes reduced kidney function. The pathologist</w:t>
      </w:r>
      <w:r w:rsidR="003E76CA" w:rsidRPr="00613C4A">
        <w:t>’</w:t>
      </w:r>
      <w:r w:rsidRPr="00613C4A">
        <w:t xml:space="preserve">s task </w:t>
      </w:r>
      <w:r w:rsidR="00924EDF" w:rsidRPr="00613C4A">
        <w:t>is</w:t>
      </w:r>
      <w:r w:rsidRPr="00613C4A">
        <w:t xml:space="preserve"> to quantify the</w:t>
      </w:r>
      <w:r w:rsidR="00924EDF" w:rsidRPr="00613C4A">
        <w:t xml:space="preserve"> percentage of</w:t>
      </w:r>
      <w:r w:rsidRPr="00613C4A">
        <w:t xml:space="preserve"> atrophic tubules compared to the total number.</w:t>
      </w:r>
    </w:p>
    <w:p w14:paraId="4C691C9E" w14:textId="41425084" w:rsidR="00425263" w:rsidRPr="00613C4A" w:rsidRDefault="00425263" w:rsidP="00425263">
      <w:pPr>
        <w:autoSpaceDE w:val="0"/>
        <w:autoSpaceDN w:val="0"/>
        <w:adjustRightInd w:val="0"/>
        <w:ind w:firstLine="420"/>
      </w:pPr>
      <w:r w:rsidRPr="00613C4A">
        <w:t xml:space="preserve">- Interstitial fibrosis: the pathologist </w:t>
      </w:r>
      <w:r w:rsidR="00924EDF" w:rsidRPr="00613C4A">
        <w:t>quantifies the</w:t>
      </w:r>
      <w:r w:rsidRPr="00613C4A">
        <w:t xml:space="preserve"> increase in fibrous connective tissue in the cortical parenchyma,</w:t>
      </w:r>
      <w:r w:rsidR="00924EDF" w:rsidRPr="00613C4A">
        <w:t xml:space="preserve"> which is</w:t>
      </w:r>
      <w:r w:rsidRPr="00613C4A">
        <w:t xml:space="preserve"> indicative of tissue scarring. The </w:t>
      </w:r>
      <w:r w:rsidR="00924EDF" w:rsidRPr="00613C4A">
        <w:t>extension</w:t>
      </w:r>
      <w:r w:rsidRPr="00613C4A">
        <w:t xml:space="preserve"> of interstitial fibrosis indicates the severity of chronic kidney disease.</w:t>
      </w:r>
    </w:p>
    <w:p w14:paraId="777BB089" w14:textId="77777777" w:rsidR="00425263" w:rsidRPr="00613C4A" w:rsidRDefault="00425263" w:rsidP="00425263">
      <w:pPr>
        <w:autoSpaceDE w:val="0"/>
        <w:autoSpaceDN w:val="0"/>
        <w:adjustRightInd w:val="0"/>
        <w:ind w:firstLine="420"/>
      </w:pPr>
      <w:r w:rsidRPr="00613C4A">
        <w:t>- Vascular sclerosis with narrowing of the lumen: the pathologist measures the thickness of the vessel by comparing it with the diameter of the lumen. Increased vascular wall thickness is an indicator of hyaline atherosclerosis, a characteristic lesion in the kidneys of donors with hypertension.</w:t>
      </w:r>
    </w:p>
    <w:p w14:paraId="5F30817C" w14:textId="466E2318" w:rsidR="00425263" w:rsidRDefault="00425263" w:rsidP="00425263">
      <w:pPr>
        <w:autoSpaceDE w:val="0"/>
        <w:autoSpaceDN w:val="0"/>
        <w:adjustRightInd w:val="0"/>
        <w:ind w:firstLine="420"/>
      </w:pPr>
      <w:r w:rsidRPr="00613C4A">
        <w:t>Two slides are prepared for each biopsy: one stained with PAS to assess glomeruli, tubules, and vessels, and the other stained with Masson</w:t>
      </w:r>
      <w:r w:rsidR="003E76CA" w:rsidRPr="00613C4A">
        <w:t>’</w:t>
      </w:r>
      <w:r w:rsidRPr="00613C4A">
        <w:t>s trichrome to assess the degree of interstitial fibrosis. The sum of the four scores yields an overall kidney score, which can have a value from 0 (no renal lesions) to 12 (indicating the presence of marked changes in renal parenchyma), based on which the suitability for transplantation is defined. Kidneys with a score of 7 or above are not eligible for either single or double transplantation and are discarded.</w:t>
      </w:r>
    </w:p>
    <w:p w14:paraId="5F14D361" w14:textId="3A53FC62" w:rsidR="00755E85" w:rsidRPr="00491967" w:rsidRDefault="00EC66BB" w:rsidP="00491967">
      <w:pPr>
        <w:pStyle w:val="1"/>
        <w:spacing w:before="240" w:after="240"/>
      </w:pPr>
      <w:r w:rsidRPr="00613C4A">
        <w:lastRenderedPageBreak/>
        <w:t>Results</w:t>
      </w:r>
    </w:p>
    <w:p w14:paraId="7030DC3B" w14:textId="70E087C3" w:rsidR="00425263" w:rsidRPr="007032AE" w:rsidRDefault="00997ADE" w:rsidP="007032AE">
      <w:pPr>
        <w:pStyle w:val="1"/>
        <w:spacing w:before="240" w:after="240"/>
        <w:jc w:val="center"/>
        <w:rPr>
          <w:rFonts w:eastAsiaTheme="minorEastAsia"/>
        </w:rPr>
      </w:pPr>
      <w:r w:rsidRPr="00613C4A">
        <w:rPr>
          <w:noProof/>
        </w:rPr>
        <w:drawing>
          <wp:inline distT="0" distB="0" distL="0" distR="0" wp14:anchorId="12A69D57" wp14:editId="2DB52B75">
            <wp:extent cx="5029200" cy="3657600"/>
            <wp:effectExtent l="0" t="0" r="0" b="0"/>
            <wp:docPr id="15307576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B300403" w14:textId="5AA6666D" w:rsidR="00813EF7" w:rsidRDefault="00084C92" w:rsidP="009335B7">
      <w:pPr>
        <w:pStyle w:val="af2"/>
      </w:pPr>
      <w:r w:rsidRPr="00613C4A">
        <w:t>Supplementary Fig. 1.</w:t>
      </w:r>
      <w:r w:rsidR="00813EF7" w:rsidRPr="00613C4A">
        <w:t xml:space="preserve"> </w:t>
      </w:r>
      <w:r w:rsidR="00A90C40" w:rsidRPr="00613C4A">
        <w:t xml:space="preserve">Right </w:t>
      </w:r>
      <w:r w:rsidR="00813EF7" w:rsidRPr="00613C4A">
        <w:t>kidney Karpinski score correlation with organ suitable for transplantation</w:t>
      </w:r>
      <w:r w:rsidR="00D94836" w:rsidRPr="00613C4A">
        <w:t xml:space="preserve"> plot</w:t>
      </w:r>
      <w:r w:rsidRPr="00613C4A">
        <w:t>.</w:t>
      </w:r>
    </w:p>
    <w:p w14:paraId="3CB443CE" w14:textId="77777777" w:rsidR="007032AE" w:rsidRPr="00613C4A" w:rsidRDefault="007032AE" w:rsidP="007032AE">
      <w:pPr>
        <w:ind w:firstLine="420"/>
      </w:pPr>
    </w:p>
    <w:p w14:paraId="29938597" w14:textId="0FB14482" w:rsidR="00813EF7" w:rsidRPr="0064676D" w:rsidRDefault="00064EAF" w:rsidP="0064676D">
      <w:pPr>
        <w:pStyle w:val="af2"/>
        <w:jc w:val="center"/>
      </w:pPr>
      <w:r w:rsidRPr="00613C4A">
        <w:rPr>
          <w:noProof/>
        </w:rPr>
        <w:drawing>
          <wp:inline distT="0" distB="0" distL="0" distR="0" wp14:anchorId="2E7BED15" wp14:editId="6469783D">
            <wp:extent cx="5029200" cy="3657600"/>
            <wp:effectExtent l="0" t="0" r="0" b="0"/>
            <wp:docPr id="162809064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2E0C048" w14:textId="47767B63" w:rsidR="00813EF7" w:rsidRDefault="00084C92" w:rsidP="00745EFF">
      <w:pPr>
        <w:pStyle w:val="af2"/>
      </w:pPr>
      <w:r w:rsidRPr="00613C4A">
        <w:t>Supplementary Fig. 2.</w:t>
      </w:r>
      <w:r w:rsidR="00755E85" w:rsidRPr="00613C4A">
        <w:t xml:space="preserve"> Left kidney Karpinski score correlation with organ suitable for transplantation</w:t>
      </w:r>
      <w:r w:rsidR="00D94836" w:rsidRPr="00613C4A">
        <w:t xml:space="preserve"> plot.</w:t>
      </w:r>
    </w:p>
    <w:p w14:paraId="5D4ACA20" w14:textId="77777777" w:rsidR="00745EFF" w:rsidRPr="00613C4A" w:rsidRDefault="00745EFF" w:rsidP="008C171C">
      <w:pPr>
        <w:ind w:firstLine="420"/>
      </w:pPr>
    </w:p>
    <w:p w14:paraId="0698C3B5" w14:textId="5E380D6A" w:rsidR="00997ADE" w:rsidRPr="004275F1" w:rsidRDefault="008D1C38" w:rsidP="004275F1">
      <w:pPr>
        <w:autoSpaceDE w:val="0"/>
        <w:autoSpaceDN w:val="0"/>
        <w:adjustRightInd w:val="0"/>
        <w:ind w:firstLineChars="0" w:firstLine="0"/>
        <w:jc w:val="center"/>
        <w:rPr>
          <w:rFonts w:eastAsiaTheme="minorEastAsia"/>
        </w:rPr>
      </w:pPr>
      <w:r w:rsidRPr="00613C4A">
        <w:rPr>
          <w:noProof/>
        </w:rPr>
        <w:lastRenderedPageBreak/>
        <w:drawing>
          <wp:inline distT="0" distB="0" distL="0" distR="0" wp14:anchorId="69B042A6" wp14:editId="56E4055F">
            <wp:extent cx="5029200" cy="3657600"/>
            <wp:effectExtent l="0" t="0" r="0" b="0"/>
            <wp:docPr id="17800360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120AAD5" w14:textId="27678AEE" w:rsidR="00813EF7" w:rsidRDefault="00084C92" w:rsidP="00B84538">
      <w:pPr>
        <w:pStyle w:val="af2"/>
      </w:pPr>
      <w:r w:rsidRPr="00613C4A">
        <w:t>Supplementary Fig. 3</w:t>
      </w:r>
      <w:r w:rsidR="007C67FF" w:rsidRPr="00613C4A">
        <w:t xml:space="preserve">. </w:t>
      </w:r>
      <w:r w:rsidR="00D94836" w:rsidRPr="00613C4A">
        <w:t xml:space="preserve">Postestimation univariate logistic </w:t>
      </w:r>
      <w:r w:rsidR="007C67FF" w:rsidRPr="00613C4A">
        <w:t xml:space="preserve">analysis: on Y </w:t>
      </w:r>
      <w:r w:rsidR="0037260B" w:rsidRPr="00613C4A">
        <w:t>a</w:t>
      </w:r>
      <w:r w:rsidR="007C67FF" w:rsidRPr="00613C4A">
        <w:t>xis the probability to be suitable for transplantation, on the X</w:t>
      </w:r>
      <w:r w:rsidR="0037260B" w:rsidRPr="00613C4A">
        <w:t xml:space="preserve"> axis</w:t>
      </w:r>
      <w:r w:rsidR="007C67FF" w:rsidRPr="00613C4A">
        <w:t xml:space="preserve"> the lactate values before</w:t>
      </w:r>
      <w:r w:rsidR="0037260B" w:rsidRPr="00613C4A">
        <w:t xml:space="preserve"> the beginning of</w:t>
      </w:r>
      <w:r w:rsidR="007C67FF" w:rsidRPr="00613C4A">
        <w:t xml:space="preserve"> </w:t>
      </w:r>
      <w:proofErr w:type="spellStart"/>
      <w:r w:rsidR="007C67FF" w:rsidRPr="00613C4A">
        <w:t>Nr</w:t>
      </w:r>
      <w:r w:rsidR="009B09BA" w:rsidRPr="00613C4A">
        <w:t>P</w:t>
      </w:r>
      <w:proofErr w:type="spellEnd"/>
      <w:r w:rsidR="007C67FF" w:rsidRPr="00613C4A">
        <w:t>.</w:t>
      </w:r>
    </w:p>
    <w:p w14:paraId="4A4983C2" w14:textId="77777777" w:rsidR="004275F1" w:rsidRPr="00613C4A" w:rsidRDefault="004275F1" w:rsidP="004275F1">
      <w:pPr>
        <w:ind w:firstLine="420"/>
      </w:pPr>
    </w:p>
    <w:p w14:paraId="0ADD6B6F" w14:textId="01508545" w:rsidR="0030562D" w:rsidRPr="004275F1" w:rsidRDefault="002F66BC" w:rsidP="004275F1">
      <w:pPr>
        <w:pStyle w:val="af2"/>
        <w:jc w:val="center"/>
      </w:pPr>
      <w:r w:rsidRPr="00613C4A">
        <w:rPr>
          <w:noProof/>
        </w:rPr>
        <w:drawing>
          <wp:inline distT="0" distB="0" distL="0" distR="0" wp14:anchorId="255AA228" wp14:editId="7F9DA4E3">
            <wp:extent cx="5029200" cy="3657600"/>
            <wp:effectExtent l="0" t="0" r="0" b="0"/>
            <wp:docPr id="151405740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9E5497E" w14:textId="4EE1028D" w:rsidR="0030562D" w:rsidRPr="00613C4A" w:rsidRDefault="00084C92" w:rsidP="00B84538">
      <w:pPr>
        <w:pStyle w:val="af2"/>
      </w:pPr>
      <w:r w:rsidRPr="00613C4A">
        <w:t>Supplementary Fig. 4.</w:t>
      </w:r>
      <w:r w:rsidR="0030562D" w:rsidRPr="00613C4A">
        <w:t xml:space="preserve"> Postestimation univariate logistic analysis: on Y axis the probability to be suitable for transplantation, on the X axis Age (years) of DCD donors.</w:t>
      </w:r>
    </w:p>
    <w:p w14:paraId="292BA807" w14:textId="77777777" w:rsidR="00745EFF" w:rsidRPr="00613C4A" w:rsidRDefault="00745EFF" w:rsidP="004275F1">
      <w:pPr>
        <w:ind w:firstLine="420"/>
      </w:pPr>
    </w:p>
    <w:p w14:paraId="78D98333" w14:textId="2C3D2CF5" w:rsidR="00813EF7" w:rsidRPr="00613C4A" w:rsidRDefault="00743856" w:rsidP="00743856">
      <w:pPr>
        <w:pStyle w:val="a7"/>
      </w:pPr>
      <w:r w:rsidRPr="00613C4A">
        <w:rPr>
          <w:rFonts w:eastAsia="宋体"/>
        </w:rPr>
        <w:t>Supplementary Table 1</w:t>
      </w:r>
      <w:r w:rsidRPr="00613C4A">
        <w:t>.</w:t>
      </w:r>
      <w:r w:rsidR="00DA00A7" w:rsidRPr="00613C4A">
        <w:t xml:space="preserve"> </w:t>
      </w:r>
      <w:r w:rsidR="009272D7" w:rsidRPr="00613C4A">
        <w:t>L</w:t>
      </w:r>
      <w:r w:rsidR="00DA00A7" w:rsidRPr="00613C4A">
        <w:t>actate mixed model</w:t>
      </w:r>
      <w:r w:rsidR="00534DE3" w:rsidRPr="00613C4A">
        <w:t xml:space="preserve"> preliminary analysis</w:t>
      </w:r>
      <w:r w:rsidRPr="00613C4A">
        <w:t>.</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280"/>
        <w:gridCol w:w="1269"/>
        <w:gridCol w:w="898"/>
        <w:gridCol w:w="1646"/>
        <w:gridCol w:w="1840"/>
        <w:gridCol w:w="561"/>
      </w:tblGrid>
      <w:tr w:rsidR="00613C4A" w:rsidRPr="00613C4A" w14:paraId="118674B7" w14:textId="77777777" w:rsidTr="009C3E54">
        <w:trPr>
          <w:trHeight w:val="454"/>
          <w:jc w:val="center"/>
        </w:trPr>
        <w:tc>
          <w:tcPr>
            <w:tcW w:w="2247" w:type="dxa"/>
            <w:vAlign w:val="center"/>
          </w:tcPr>
          <w:p w14:paraId="728B7B1B" w14:textId="21AD4824" w:rsidR="009272D7" w:rsidRPr="00613C4A" w:rsidRDefault="009272D7" w:rsidP="003E76CA">
            <w:pPr>
              <w:autoSpaceDE w:val="0"/>
              <w:autoSpaceDN w:val="0"/>
              <w:adjustRightInd w:val="0"/>
              <w:ind w:firstLineChars="0" w:firstLine="0"/>
              <w:rPr>
                <w:rFonts w:cstheme="minorHAnsi"/>
                <w:kern w:val="0"/>
              </w:rPr>
            </w:pPr>
            <w:r w:rsidRPr="00613C4A">
              <w:rPr>
                <w:rFonts w:cstheme="minorHAnsi"/>
                <w:kern w:val="0"/>
              </w:rPr>
              <w:t>Lactate</w:t>
            </w:r>
          </w:p>
        </w:tc>
        <w:tc>
          <w:tcPr>
            <w:tcW w:w="1280" w:type="dxa"/>
            <w:vAlign w:val="center"/>
          </w:tcPr>
          <w:p w14:paraId="6BFEBB02" w14:textId="459AFF99"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Coef.</w:t>
            </w:r>
          </w:p>
        </w:tc>
        <w:tc>
          <w:tcPr>
            <w:tcW w:w="1269" w:type="dxa"/>
            <w:vAlign w:val="center"/>
          </w:tcPr>
          <w:p w14:paraId="265933D7" w14:textId="664C767C" w:rsidR="009272D7" w:rsidRPr="00613C4A" w:rsidRDefault="009272D7" w:rsidP="003E76CA">
            <w:pPr>
              <w:autoSpaceDE w:val="0"/>
              <w:autoSpaceDN w:val="0"/>
              <w:adjustRightInd w:val="0"/>
              <w:ind w:firstLineChars="0" w:firstLine="0"/>
              <w:jc w:val="center"/>
              <w:rPr>
                <w:rFonts w:cstheme="minorHAnsi"/>
                <w:kern w:val="0"/>
              </w:rPr>
            </w:pPr>
            <w:proofErr w:type="spellStart"/>
            <w:r w:rsidRPr="00613C4A">
              <w:rPr>
                <w:rFonts w:cstheme="minorHAnsi"/>
                <w:kern w:val="0"/>
              </w:rPr>
              <w:t>St.Err</w:t>
            </w:r>
            <w:proofErr w:type="spellEnd"/>
            <w:r w:rsidRPr="00613C4A">
              <w:rPr>
                <w:rFonts w:cstheme="minorHAnsi"/>
                <w:kern w:val="0"/>
              </w:rPr>
              <w:t>.</w:t>
            </w:r>
          </w:p>
        </w:tc>
        <w:tc>
          <w:tcPr>
            <w:tcW w:w="898" w:type="dxa"/>
            <w:vAlign w:val="center"/>
          </w:tcPr>
          <w:p w14:paraId="4726792D" w14:textId="1E6A4E16"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i/>
                <w:iCs/>
                <w:kern w:val="0"/>
              </w:rPr>
              <w:t>t</w:t>
            </w:r>
            <w:r w:rsidRPr="00613C4A">
              <w:rPr>
                <w:rFonts w:cstheme="minorHAnsi"/>
                <w:kern w:val="0"/>
              </w:rPr>
              <w:t>-value</w:t>
            </w:r>
          </w:p>
        </w:tc>
        <w:tc>
          <w:tcPr>
            <w:tcW w:w="1646" w:type="dxa"/>
            <w:vAlign w:val="center"/>
          </w:tcPr>
          <w:p w14:paraId="2A03846C" w14:textId="6F427011"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i/>
                <w:iCs/>
                <w:kern w:val="0"/>
              </w:rPr>
              <w:t>p</w:t>
            </w:r>
            <w:r w:rsidRPr="00613C4A">
              <w:rPr>
                <w:rFonts w:cstheme="minorHAnsi"/>
                <w:kern w:val="0"/>
              </w:rPr>
              <w:t>-value</w:t>
            </w:r>
          </w:p>
        </w:tc>
        <w:tc>
          <w:tcPr>
            <w:tcW w:w="1840" w:type="dxa"/>
            <w:vAlign w:val="center"/>
          </w:tcPr>
          <w:p w14:paraId="527C725A" w14:textId="5AFB6F6B" w:rsidR="009272D7" w:rsidRPr="00613C4A" w:rsidRDefault="009272D7" w:rsidP="00111AFB">
            <w:pPr>
              <w:autoSpaceDE w:val="0"/>
              <w:autoSpaceDN w:val="0"/>
              <w:adjustRightInd w:val="0"/>
              <w:ind w:firstLineChars="0" w:firstLine="0"/>
              <w:jc w:val="center"/>
              <w:rPr>
                <w:rFonts w:cstheme="minorHAnsi"/>
                <w:kern w:val="0"/>
              </w:rPr>
            </w:pPr>
            <w:r w:rsidRPr="00613C4A">
              <w:rPr>
                <w:rFonts w:cstheme="minorHAnsi"/>
                <w:kern w:val="0"/>
              </w:rPr>
              <w:t>(95% Conf Interval)</w:t>
            </w:r>
          </w:p>
        </w:tc>
        <w:tc>
          <w:tcPr>
            <w:tcW w:w="561" w:type="dxa"/>
            <w:vAlign w:val="center"/>
          </w:tcPr>
          <w:p w14:paraId="0B3BD5D1" w14:textId="79FCBECB"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Sig</w:t>
            </w:r>
          </w:p>
        </w:tc>
      </w:tr>
      <w:tr w:rsidR="00613C4A" w:rsidRPr="00613C4A" w14:paraId="6018520D" w14:textId="77777777" w:rsidTr="00855CB2">
        <w:trPr>
          <w:trHeight w:val="454"/>
          <w:jc w:val="center"/>
        </w:trPr>
        <w:tc>
          <w:tcPr>
            <w:tcW w:w="2247" w:type="dxa"/>
            <w:vAlign w:val="center"/>
          </w:tcPr>
          <w:p w14:paraId="6E385663" w14:textId="77777777" w:rsidR="009272D7" w:rsidRPr="00613C4A" w:rsidRDefault="009272D7" w:rsidP="003E76CA">
            <w:pPr>
              <w:autoSpaceDE w:val="0"/>
              <w:autoSpaceDN w:val="0"/>
              <w:adjustRightInd w:val="0"/>
              <w:ind w:firstLineChars="0" w:firstLine="0"/>
              <w:rPr>
                <w:rFonts w:cstheme="minorHAnsi"/>
                <w:kern w:val="0"/>
              </w:rPr>
            </w:pPr>
            <w:r w:rsidRPr="00613C4A">
              <w:rPr>
                <w:rFonts w:cstheme="minorHAnsi"/>
                <w:kern w:val="0"/>
              </w:rPr>
              <w:lastRenderedPageBreak/>
              <w:t>Constant</w:t>
            </w:r>
          </w:p>
        </w:tc>
        <w:tc>
          <w:tcPr>
            <w:tcW w:w="1280" w:type="dxa"/>
            <w:vAlign w:val="center"/>
          </w:tcPr>
          <w:p w14:paraId="0256FFDE" w14:textId="77777777"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10.032</w:t>
            </w:r>
          </w:p>
        </w:tc>
        <w:tc>
          <w:tcPr>
            <w:tcW w:w="1269" w:type="dxa"/>
            <w:vAlign w:val="center"/>
          </w:tcPr>
          <w:p w14:paraId="5EA28A57" w14:textId="26D32397"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0.463</w:t>
            </w:r>
          </w:p>
        </w:tc>
        <w:tc>
          <w:tcPr>
            <w:tcW w:w="898" w:type="dxa"/>
            <w:vAlign w:val="center"/>
          </w:tcPr>
          <w:p w14:paraId="1CA20945" w14:textId="77777777"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21.65</w:t>
            </w:r>
          </w:p>
        </w:tc>
        <w:tc>
          <w:tcPr>
            <w:tcW w:w="1646" w:type="dxa"/>
            <w:vAlign w:val="center"/>
          </w:tcPr>
          <w:p w14:paraId="0F4A687F" w14:textId="34924666"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&lt;0.001</w:t>
            </w:r>
          </w:p>
        </w:tc>
        <w:tc>
          <w:tcPr>
            <w:tcW w:w="1840" w:type="dxa"/>
            <w:vAlign w:val="center"/>
          </w:tcPr>
          <w:p w14:paraId="35335D9A" w14:textId="220D7C15" w:rsidR="009272D7" w:rsidRPr="00613C4A" w:rsidRDefault="009272D7" w:rsidP="00A75B9F">
            <w:pPr>
              <w:autoSpaceDE w:val="0"/>
              <w:autoSpaceDN w:val="0"/>
              <w:adjustRightInd w:val="0"/>
              <w:ind w:firstLineChars="0" w:firstLine="0"/>
              <w:jc w:val="center"/>
              <w:rPr>
                <w:rFonts w:cstheme="minorHAnsi"/>
                <w:kern w:val="0"/>
              </w:rPr>
            </w:pPr>
            <w:r w:rsidRPr="00613C4A">
              <w:rPr>
                <w:rFonts w:cstheme="minorHAnsi"/>
                <w:kern w:val="0"/>
              </w:rPr>
              <w:t>9.124–10.94</w:t>
            </w:r>
          </w:p>
        </w:tc>
        <w:tc>
          <w:tcPr>
            <w:tcW w:w="561" w:type="dxa"/>
            <w:vAlign w:val="center"/>
          </w:tcPr>
          <w:p w14:paraId="0E9AB4D7" w14:textId="77777777"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w:t>
            </w:r>
          </w:p>
        </w:tc>
      </w:tr>
      <w:tr w:rsidR="00613C4A" w:rsidRPr="00613C4A" w14:paraId="624CBE36" w14:textId="77777777" w:rsidTr="001455B1">
        <w:trPr>
          <w:trHeight w:val="454"/>
          <w:jc w:val="center"/>
        </w:trPr>
        <w:tc>
          <w:tcPr>
            <w:tcW w:w="2247" w:type="dxa"/>
            <w:vAlign w:val="center"/>
          </w:tcPr>
          <w:p w14:paraId="2010B489" w14:textId="77777777" w:rsidR="009272D7" w:rsidRPr="00613C4A" w:rsidRDefault="009272D7" w:rsidP="003E76CA">
            <w:pPr>
              <w:autoSpaceDE w:val="0"/>
              <w:autoSpaceDN w:val="0"/>
              <w:adjustRightInd w:val="0"/>
              <w:ind w:firstLineChars="0" w:firstLine="0"/>
              <w:rPr>
                <w:rFonts w:cstheme="minorHAnsi"/>
                <w:kern w:val="0"/>
              </w:rPr>
            </w:pPr>
            <w:r w:rsidRPr="00613C4A">
              <w:rPr>
                <w:rFonts w:cstheme="minorHAnsi"/>
                <w:kern w:val="0"/>
              </w:rPr>
              <w:t>Constant</w:t>
            </w:r>
          </w:p>
        </w:tc>
        <w:tc>
          <w:tcPr>
            <w:tcW w:w="1280" w:type="dxa"/>
            <w:vAlign w:val="center"/>
          </w:tcPr>
          <w:p w14:paraId="3BEAB041" w14:textId="77777777"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1.383</w:t>
            </w:r>
          </w:p>
        </w:tc>
        <w:tc>
          <w:tcPr>
            <w:tcW w:w="1269" w:type="dxa"/>
            <w:vAlign w:val="center"/>
          </w:tcPr>
          <w:p w14:paraId="35788834" w14:textId="14FF725D"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0.082</w:t>
            </w:r>
          </w:p>
        </w:tc>
        <w:tc>
          <w:tcPr>
            <w:tcW w:w="898" w:type="dxa"/>
            <w:vAlign w:val="center"/>
          </w:tcPr>
          <w:p w14:paraId="6C0DFD84" w14:textId="77777777"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.b</w:t>
            </w:r>
          </w:p>
        </w:tc>
        <w:tc>
          <w:tcPr>
            <w:tcW w:w="1646" w:type="dxa"/>
            <w:vAlign w:val="center"/>
          </w:tcPr>
          <w:p w14:paraId="6FC3ADDB" w14:textId="77777777"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.b</w:t>
            </w:r>
          </w:p>
        </w:tc>
        <w:tc>
          <w:tcPr>
            <w:tcW w:w="1840" w:type="dxa"/>
            <w:vAlign w:val="center"/>
          </w:tcPr>
          <w:p w14:paraId="7F5BF484" w14:textId="77777777" w:rsidR="009272D7" w:rsidRPr="00613C4A" w:rsidRDefault="009272D7" w:rsidP="003E76CA">
            <w:pPr>
              <w:autoSpaceDE w:val="0"/>
              <w:autoSpaceDN w:val="0"/>
              <w:adjustRightInd w:val="0"/>
              <w:ind w:firstLineChars="0" w:firstLine="0"/>
              <w:jc w:val="center"/>
              <w:rPr>
                <w:rFonts w:cstheme="minorHAnsi"/>
                <w:kern w:val="0"/>
              </w:rPr>
            </w:pPr>
            <w:r w:rsidRPr="00613C4A">
              <w:rPr>
                <w:rFonts w:cstheme="minorHAnsi"/>
                <w:kern w:val="0"/>
              </w:rPr>
              <w:t>1.231–1.554</w:t>
            </w:r>
          </w:p>
          <w:p w14:paraId="1105DA0A" w14:textId="7A5DEA7F" w:rsidR="009272D7" w:rsidRPr="00613C4A" w:rsidRDefault="009272D7" w:rsidP="003E76CA">
            <w:pPr>
              <w:autoSpaceDE w:val="0"/>
              <w:autoSpaceDN w:val="0"/>
              <w:adjustRightInd w:val="0"/>
              <w:ind w:firstLineChars="0" w:firstLine="0"/>
              <w:jc w:val="center"/>
              <w:rPr>
                <w:rFonts w:cstheme="minorHAnsi"/>
                <w:kern w:val="0"/>
              </w:rPr>
            </w:pPr>
          </w:p>
        </w:tc>
        <w:tc>
          <w:tcPr>
            <w:tcW w:w="561" w:type="dxa"/>
            <w:vAlign w:val="center"/>
          </w:tcPr>
          <w:p w14:paraId="288A7239" w14:textId="77777777" w:rsidR="009272D7" w:rsidRPr="00613C4A" w:rsidRDefault="009272D7" w:rsidP="003E76CA">
            <w:pPr>
              <w:autoSpaceDE w:val="0"/>
              <w:autoSpaceDN w:val="0"/>
              <w:adjustRightInd w:val="0"/>
              <w:ind w:firstLineChars="0" w:firstLine="0"/>
              <w:jc w:val="center"/>
              <w:rPr>
                <w:rFonts w:cstheme="minorHAnsi"/>
                <w:kern w:val="0"/>
              </w:rPr>
            </w:pPr>
          </w:p>
        </w:tc>
      </w:tr>
      <w:tr w:rsidR="00613C4A" w:rsidRPr="00613C4A" w14:paraId="64A111A7" w14:textId="27BB037E" w:rsidTr="00134FD6">
        <w:trPr>
          <w:trHeight w:val="454"/>
          <w:jc w:val="center"/>
        </w:trPr>
        <w:tc>
          <w:tcPr>
            <w:tcW w:w="2247" w:type="dxa"/>
            <w:vAlign w:val="center"/>
          </w:tcPr>
          <w:p w14:paraId="41725822" w14:textId="77777777" w:rsidR="003E76CA" w:rsidRPr="00613C4A" w:rsidRDefault="003E76CA" w:rsidP="003E76CA">
            <w:pPr>
              <w:autoSpaceDE w:val="0"/>
              <w:autoSpaceDN w:val="0"/>
              <w:adjustRightInd w:val="0"/>
              <w:ind w:firstLineChars="0" w:firstLine="0"/>
              <w:rPr>
                <w:rFonts w:cstheme="minorHAnsi"/>
                <w:kern w:val="0"/>
              </w:rPr>
            </w:pPr>
            <w:r w:rsidRPr="00613C4A">
              <w:rPr>
                <w:rFonts w:cstheme="minorHAnsi"/>
                <w:kern w:val="0"/>
              </w:rPr>
              <w:t>Mean dependent var</w:t>
            </w:r>
          </w:p>
        </w:tc>
        <w:tc>
          <w:tcPr>
            <w:tcW w:w="2549" w:type="dxa"/>
            <w:gridSpan w:val="2"/>
            <w:vAlign w:val="center"/>
          </w:tcPr>
          <w:p w14:paraId="5AABDC8D" w14:textId="77777777" w:rsidR="003E76CA" w:rsidRPr="00613C4A" w:rsidRDefault="003E76CA" w:rsidP="003E76CA">
            <w:pPr>
              <w:autoSpaceDE w:val="0"/>
              <w:autoSpaceDN w:val="0"/>
              <w:adjustRightInd w:val="0"/>
              <w:ind w:firstLineChars="0" w:firstLine="0"/>
              <w:jc w:val="center"/>
              <w:rPr>
                <w:rFonts w:cstheme="minorHAnsi"/>
                <w:kern w:val="0"/>
              </w:rPr>
            </w:pPr>
            <w:r w:rsidRPr="00613C4A">
              <w:rPr>
                <w:rFonts w:cstheme="minorHAnsi"/>
                <w:kern w:val="0"/>
              </w:rPr>
              <w:t>10.032</w:t>
            </w:r>
          </w:p>
        </w:tc>
        <w:tc>
          <w:tcPr>
            <w:tcW w:w="2544" w:type="dxa"/>
            <w:gridSpan w:val="2"/>
            <w:vAlign w:val="center"/>
          </w:tcPr>
          <w:p w14:paraId="0E390303" w14:textId="70306F8C" w:rsidR="003E76CA" w:rsidRPr="00613C4A" w:rsidRDefault="003E76CA" w:rsidP="003E76CA">
            <w:pPr>
              <w:autoSpaceDE w:val="0"/>
              <w:autoSpaceDN w:val="0"/>
              <w:adjustRightInd w:val="0"/>
              <w:ind w:firstLineChars="0" w:firstLine="0"/>
              <w:jc w:val="center"/>
              <w:rPr>
                <w:rFonts w:cstheme="minorHAnsi"/>
                <w:kern w:val="0"/>
              </w:rPr>
            </w:pPr>
            <w:r w:rsidRPr="00613C4A">
              <w:rPr>
                <w:rFonts w:cstheme="minorHAnsi"/>
                <w:kern w:val="0"/>
              </w:rPr>
              <w:t>SD dependent var</w:t>
            </w:r>
          </w:p>
        </w:tc>
        <w:tc>
          <w:tcPr>
            <w:tcW w:w="1840" w:type="dxa"/>
            <w:vAlign w:val="center"/>
          </w:tcPr>
          <w:p w14:paraId="3C35523F" w14:textId="77777777" w:rsidR="003E76CA" w:rsidRPr="00613C4A" w:rsidRDefault="003E76CA" w:rsidP="003E76CA">
            <w:pPr>
              <w:autoSpaceDE w:val="0"/>
              <w:autoSpaceDN w:val="0"/>
              <w:adjustRightInd w:val="0"/>
              <w:ind w:firstLineChars="0" w:firstLine="0"/>
              <w:jc w:val="center"/>
              <w:rPr>
                <w:rFonts w:cstheme="minorHAnsi"/>
                <w:kern w:val="0"/>
              </w:rPr>
            </w:pPr>
            <w:r w:rsidRPr="00613C4A">
              <w:rPr>
                <w:rFonts w:cstheme="minorHAnsi"/>
                <w:kern w:val="0"/>
              </w:rPr>
              <w:t>4.014</w:t>
            </w:r>
          </w:p>
        </w:tc>
        <w:tc>
          <w:tcPr>
            <w:tcW w:w="561" w:type="dxa"/>
            <w:vAlign w:val="center"/>
          </w:tcPr>
          <w:p w14:paraId="4C81BF48" w14:textId="77777777" w:rsidR="003E76CA" w:rsidRPr="00613C4A" w:rsidRDefault="003E76CA" w:rsidP="003E76CA">
            <w:pPr>
              <w:autoSpaceDE w:val="0"/>
              <w:autoSpaceDN w:val="0"/>
              <w:adjustRightInd w:val="0"/>
              <w:ind w:firstLineChars="0" w:firstLine="0"/>
              <w:jc w:val="center"/>
              <w:rPr>
                <w:rFonts w:cstheme="minorHAnsi"/>
                <w:kern w:val="0"/>
              </w:rPr>
            </w:pPr>
          </w:p>
        </w:tc>
      </w:tr>
      <w:tr w:rsidR="00613C4A" w:rsidRPr="00613C4A" w14:paraId="09C00630" w14:textId="14DDCE7E" w:rsidTr="00134FD6">
        <w:trPr>
          <w:trHeight w:val="454"/>
          <w:jc w:val="center"/>
        </w:trPr>
        <w:tc>
          <w:tcPr>
            <w:tcW w:w="2247" w:type="dxa"/>
            <w:vAlign w:val="center"/>
          </w:tcPr>
          <w:p w14:paraId="122F1A8C" w14:textId="0D344D2A" w:rsidR="00751366" w:rsidRPr="00613C4A" w:rsidRDefault="00751366" w:rsidP="00751366">
            <w:pPr>
              <w:autoSpaceDE w:val="0"/>
              <w:autoSpaceDN w:val="0"/>
              <w:adjustRightInd w:val="0"/>
              <w:ind w:firstLineChars="0" w:firstLine="0"/>
              <w:rPr>
                <w:rFonts w:cstheme="minorHAnsi"/>
                <w:kern w:val="0"/>
              </w:rPr>
            </w:pPr>
            <w:r w:rsidRPr="00613C4A">
              <w:rPr>
                <w:rFonts w:cstheme="minorHAnsi"/>
                <w:kern w:val="0"/>
              </w:rPr>
              <w:t xml:space="preserve">Number of </w:t>
            </w:r>
            <w:proofErr w:type="spellStart"/>
            <w:r w:rsidRPr="00613C4A">
              <w:rPr>
                <w:rFonts w:cstheme="minorHAnsi"/>
                <w:kern w:val="0"/>
              </w:rPr>
              <w:t>obs</w:t>
            </w:r>
            <w:proofErr w:type="spellEnd"/>
          </w:p>
        </w:tc>
        <w:tc>
          <w:tcPr>
            <w:tcW w:w="2549" w:type="dxa"/>
            <w:gridSpan w:val="2"/>
            <w:vAlign w:val="center"/>
          </w:tcPr>
          <w:p w14:paraId="341A2F66" w14:textId="77777777" w:rsidR="00751366" w:rsidRPr="00613C4A" w:rsidRDefault="00751366" w:rsidP="00751366">
            <w:pPr>
              <w:autoSpaceDE w:val="0"/>
              <w:autoSpaceDN w:val="0"/>
              <w:adjustRightInd w:val="0"/>
              <w:ind w:firstLineChars="0" w:firstLine="0"/>
              <w:jc w:val="center"/>
              <w:rPr>
                <w:rFonts w:cstheme="minorHAnsi"/>
                <w:kern w:val="0"/>
              </w:rPr>
            </w:pPr>
            <w:r w:rsidRPr="00613C4A">
              <w:rPr>
                <w:rFonts w:cstheme="minorHAnsi"/>
                <w:kern w:val="0"/>
              </w:rPr>
              <w:t>74</w:t>
            </w:r>
          </w:p>
        </w:tc>
        <w:tc>
          <w:tcPr>
            <w:tcW w:w="2544" w:type="dxa"/>
            <w:gridSpan w:val="2"/>
            <w:vAlign w:val="center"/>
          </w:tcPr>
          <w:p w14:paraId="6B991AEB" w14:textId="35A5265A" w:rsidR="00751366" w:rsidRPr="00613C4A" w:rsidRDefault="00751366" w:rsidP="00751366">
            <w:pPr>
              <w:autoSpaceDE w:val="0"/>
              <w:autoSpaceDN w:val="0"/>
              <w:adjustRightInd w:val="0"/>
              <w:ind w:firstLineChars="0" w:firstLine="0"/>
              <w:jc w:val="center"/>
              <w:rPr>
                <w:rFonts w:cstheme="minorHAnsi"/>
                <w:kern w:val="0"/>
              </w:rPr>
            </w:pPr>
            <w:r w:rsidRPr="00613C4A">
              <w:rPr>
                <w:rFonts w:cstheme="minorHAnsi"/>
                <w:kern w:val="0"/>
              </w:rPr>
              <w:t>Akaike crit. (AIC)</w:t>
            </w:r>
          </w:p>
        </w:tc>
        <w:tc>
          <w:tcPr>
            <w:tcW w:w="1840" w:type="dxa"/>
            <w:vAlign w:val="center"/>
          </w:tcPr>
          <w:p w14:paraId="6BAA926B" w14:textId="760CEEA1" w:rsidR="00751366" w:rsidRPr="00613C4A" w:rsidRDefault="00751366" w:rsidP="00751366">
            <w:pPr>
              <w:autoSpaceDE w:val="0"/>
              <w:autoSpaceDN w:val="0"/>
              <w:adjustRightInd w:val="0"/>
              <w:ind w:firstLineChars="0" w:firstLine="0"/>
              <w:jc w:val="center"/>
              <w:rPr>
                <w:rFonts w:cstheme="minorHAnsi"/>
                <w:kern w:val="0"/>
              </w:rPr>
            </w:pPr>
            <w:r w:rsidRPr="00613C4A">
              <w:rPr>
                <w:rFonts w:cstheme="minorHAnsi"/>
                <w:kern w:val="0"/>
              </w:rPr>
              <w:t>418.69</w:t>
            </w:r>
            <w:r w:rsidR="00F35F6D" w:rsidRPr="00613C4A">
              <w:rPr>
                <w:rFonts w:cstheme="minorHAnsi"/>
                <w:kern w:val="0"/>
              </w:rPr>
              <w:t>2</w:t>
            </w:r>
          </w:p>
        </w:tc>
        <w:tc>
          <w:tcPr>
            <w:tcW w:w="561" w:type="dxa"/>
            <w:vAlign w:val="center"/>
          </w:tcPr>
          <w:p w14:paraId="1C4781BB" w14:textId="77777777" w:rsidR="00751366" w:rsidRPr="00613C4A" w:rsidRDefault="00751366" w:rsidP="00751366">
            <w:pPr>
              <w:autoSpaceDE w:val="0"/>
              <w:autoSpaceDN w:val="0"/>
              <w:adjustRightInd w:val="0"/>
              <w:ind w:firstLineChars="0" w:firstLine="0"/>
              <w:jc w:val="center"/>
              <w:rPr>
                <w:rFonts w:cstheme="minorHAnsi"/>
                <w:kern w:val="0"/>
              </w:rPr>
            </w:pPr>
          </w:p>
        </w:tc>
      </w:tr>
    </w:tbl>
    <w:p w14:paraId="328EBFA9" w14:textId="00FE4CC8" w:rsidR="00813EF7" w:rsidRPr="00613C4A" w:rsidRDefault="003E76CA" w:rsidP="00B84538">
      <w:pPr>
        <w:pStyle w:val="a8"/>
        <w:rPr>
          <w:rFonts w:eastAsiaTheme="minorEastAsia"/>
        </w:rPr>
      </w:pPr>
      <w:r w:rsidRPr="00613C4A">
        <w:rPr>
          <w:i/>
          <w:iCs/>
        </w:rPr>
        <w:t>***p</w:t>
      </w:r>
      <w:r w:rsidRPr="00613C4A">
        <w:t xml:space="preserve"> &lt; 0.01, </w:t>
      </w:r>
      <w:proofErr w:type="spellStart"/>
      <w:r w:rsidR="00252EC2" w:rsidRPr="00613C4A">
        <w:rPr>
          <w:rFonts w:cstheme="minorHAnsi"/>
          <w:kern w:val="0"/>
        </w:rPr>
        <w:t>St.Err</w:t>
      </w:r>
      <w:proofErr w:type="spellEnd"/>
      <w:r w:rsidR="00252EC2" w:rsidRPr="00613C4A">
        <w:rPr>
          <w:rFonts w:cstheme="minorHAnsi"/>
          <w:kern w:val="0"/>
        </w:rPr>
        <w:t>.:</w:t>
      </w:r>
      <w:r w:rsidR="00252EC2" w:rsidRPr="00613C4A">
        <w:t xml:space="preserve"> standard error</w:t>
      </w:r>
      <w:r w:rsidR="00252EC2" w:rsidRPr="00613C4A">
        <w:rPr>
          <w:rFonts w:cstheme="minorHAnsi"/>
          <w:kern w:val="0"/>
        </w:rPr>
        <w:t>;</w:t>
      </w:r>
      <w:r w:rsidR="005179B6" w:rsidRPr="00613C4A">
        <w:rPr>
          <w:rFonts w:cstheme="minorHAnsi"/>
          <w:kern w:val="0"/>
        </w:rPr>
        <w:t xml:space="preserve"> </w:t>
      </w:r>
      <w:r w:rsidR="00252EC2" w:rsidRPr="00613C4A">
        <w:rPr>
          <w:rFonts w:cstheme="minorHAnsi"/>
          <w:kern w:val="0"/>
        </w:rPr>
        <w:t xml:space="preserve">Conf Interval: confidence interval. var: variable; </w:t>
      </w:r>
      <w:r w:rsidR="00B60215" w:rsidRPr="00613C4A">
        <w:rPr>
          <w:rFonts w:cstheme="minorHAnsi"/>
          <w:kern w:val="0"/>
        </w:rPr>
        <w:t xml:space="preserve">SD: standard deviation; </w:t>
      </w:r>
      <w:proofErr w:type="spellStart"/>
      <w:r w:rsidR="00B60215" w:rsidRPr="00613C4A">
        <w:rPr>
          <w:rFonts w:cstheme="minorHAnsi"/>
          <w:kern w:val="0"/>
        </w:rPr>
        <w:t>o</w:t>
      </w:r>
      <w:r w:rsidR="00252EC2" w:rsidRPr="00613C4A">
        <w:rPr>
          <w:rFonts w:cstheme="minorHAnsi"/>
          <w:kern w:val="0"/>
        </w:rPr>
        <w:t>bs</w:t>
      </w:r>
      <w:proofErr w:type="spellEnd"/>
      <w:r w:rsidR="00252EC2" w:rsidRPr="00613C4A">
        <w:rPr>
          <w:rFonts w:cstheme="minorHAnsi"/>
          <w:kern w:val="0"/>
        </w:rPr>
        <w:t>: observations</w:t>
      </w:r>
      <w:r w:rsidR="00B60215" w:rsidRPr="00613C4A">
        <w:rPr>
          <w:rFonts w:cstheme="minorHAnsi"/>
          <w:kern w:val="0"/>
        </w:rPr>
        <w:t>.</w:t>
      </w:r>
    </w:p>
    <w:p w14:paraId="1EE73C5B" w14:textId="5936AD8B" w:rsidR="00743856" w:rsidRPr="00613C4A" w:rsidRDefault="00743856" w:rsidP="00B84538">
      <w:pPr>
        <w:ind w:firstLine="420"/>
        <w:rPr>
          <w:rFonts w:eastAsiaTheme="minorEastAsia"/>
        </w:rPr>
      </w:pPr>
    </w:p>
    <w:p w14:paraId="21AC94E6" w14:textId="77777777" w:rsidR="003E76CA" w:rsidRPr="00613C4A" w:rsidRDefault="003E76CA" w:rsidP="00B84538">
      <w:pPr>
        <w:ind w:firstLine="420"/>
        <w:rPr>
          <w:rFonts w:eastAsiaTheme="minorEastAsia"/>
        </w:rPr>
      </w:pPr>
    </w:p>
    <w:p w14:paraId="6530C3A3" w14:textId="04E7249E" w:rsidR="00425263" w:rsidRPr="00613C4A" w:rsidRDefault="003E76CA" w:rsidP="003E76CA">
      <w:pPr>
        <w:pStyle w:val="a7"/>
        <w:rPr>
          <w:rFonts w:eastAsiaTheme="minorEastAsia"/>
        </w:rPr>
      </w:pPr>
      <w:r w:rsidRPr="00613C4A">
        <w:rPr>
          <w:rFonts w:eastAsia="宋体"/>
        </w:rPr>
        <w:t>Supplementary Table 2</w:t>
      </w:r>
      <w:r w:rsidRPr="00613C4A">
        <w:t>.</w:t>
      </w:r>
      <w:r w:rsidR="00534DE3" w:rsidRPr="00613C4A">
        <w:t xml:space="preserve"> </w:t>
      </w:r>
      <w:r w:rsidR="009272D7" w:rsidRPr="00613C4A">
        <w:t>L</w:t>
      </w:r>
      <w:r w:rsidR="00534DE3" w:rsidRPr="00613C4A">
        <w:t>actate mixed model for time and organ</w:t>
      </w:r>
      <w:r w:rsidR="0037260B" w:rsidRPr="00613C4A">
        <w:t>s</w:t>
      </w:r>
      <w:r w:rsidR="00534DE3" w:rsidRPr="00613C4A">
        <w:t xml:space="preserve"> suitable for </w:t>
      </w:r>
      <w:r w:rsidRPr="00613C4A">
        <w:t>transplantation.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1133"/>
        <w:gridCol w:w="1134"/>
        <w:gridCol w:w="1134"/>
        <w:gridCol w:w="1275"/>
        <w:gridCol w:w="2314"/>
        <w:gridCol w:w="672"/>
      </w:tblGrid>
      <w:tr w:rsidR="00613C4A" w:rsidRPr="00613C4A" w14:paraId="16873402" w14:textId="77777777" w:rsidTr="00A75B9F">
        <w:trPr>
          <w:trHeight w:val="454"/>
          <w:jc w:val="center"/>
        </w:trPr>
        <w:tc>
          <w:tcPr>
            <w:tcW w:w="1978" w:type="dxa"/>
            <w:vAlign w:val="center"/>
          </w:tcPr>
          <w:p w14:paraId="6FB226B5" w14:textId="7436CD6D" w:rsidR="00A75B9F" w:rsidRPr="00613C4A" w:rsidRDefault="00A75B9F" w:rsidP="003E76CA">
            <w:pPr>
              <w:autoSpaceDE w:val="0"/>
              <w:autoSpaceDN w:val="0"/>
              <w:adjustRightInd w:val="0"/>
              <w:ind w:firstLineChars="0" w:firstLine="0"/>
              <w:jc w:val="left"/>
              <w:rPr>
                <w:kern w:val="0"/>
              </w:rPr>
            </w:pPr>
            <w:r w:rsidRPr="00613C4A">
              <w:rPr>
                <w:kern w:val="0"/>
              </w:rPr>
              <w:t>Lactate</w:t>
            </w:r>
          </w:p>
        </w:tc>
        <w:tc>
          <w:tcPr>
            <w:tcW w:w="1133" w:type="dxa"/>
            <w:vAlign w:val="center"/>
          </w:tcPr>
          <w:p w14:paraId="2083D75E" w14:textId="1189ADF2" w:rsidR="00A75B9F" w:rsidRPr="00613C4A" w:rsidRDefault="00A75B9F" w:rsidP="003E76CA">
            <w:pPr>
              <w:autoSpaceDE w:val="0"/>
              <w:autoSpaceDN w:val="0"/>
              <w:adjustRightInd w:val="0"/>
              <w:ind w:firstLineChars="0" w:firstLine="0"/>
              <w:jc w:val="center"/>
              <w:rPr>
                <w:kern w:val="0"/>
              </w:rPr>
            </w:pPr>
            <w:r w:rsidRPr="00613C4A">
              <w:rPr>
                <w:kern w:val="0"/>
              </w:rPr>
              <w:t>Coef.</w:t>
            </w:r>
          </w:p>
        </w:tc>
        <w:tc>
          <w:tcPr>
            <w:tcW w:w="1134" w:type="dxa"/>
            <w:vAlign w:val="center"/>
          </w:tcPr>
          <w:p w14:paraId="7CE9F8B4" w14:textId="69E2EA3D" w:rsidR="00A75B9F" w:rsidRPr="00613C4A" w:rsidRDefault="00A75B9F" w:rsidP="003E76CA">
            <w:pPr>
              <w:autoSpaceDE w:val="0"/>
              <w:autoSpaceDN w:val="0"/>
              <w:adjustRightInd w:val="0"/>
              <w:ind w:firstLineChars="0" w:firstLine="0"/>
              <w:jc w:val="center"/>
              <w:rPr>
                <w:kern w:val="0"/>
              </w:rPr>
            </w:pPr>
            <w:proofErr w:type="spellStart"/>
            <w:r w:rsidRPr="00613C4A">
              <w:rPr>
                <w:kern w:val="0"/>
              </w:rPr>
              <w:t>St.Err</w:t>
            </w:r>
            <w:proofErr w:type="spellEnd"/>
            <w:r w:rsidRPr="00613C4A">
              <w:rPr>
                <w:kern w:val="0"/>
              </w:rPr>
              <w:t>.</w:t>
            </w:r>
          </w:p>
        </w:tc>
        <w:tc>
          <w:tcPr>
            <w:tcW w:w="1134" w:type="dxa"/>
            <w:vAlign w:val="center"/>
          </w:tcPr>
          <w:p w14:paraId="36F6FD23" w14:textId="41411162" w:rsidR="00A75B9F" w:rsidRPr="00613C4A" w:rsidRDefault="00A75B9F" w:rsidP="003E76CA">
            <w:pPr>
              <w:autoSpaceDE w:val="0"/>
              <w:autoSpaceDN w:val="0"/>
              <w:adjustRightInd w:val="0"/>
              <w:ind w:firstLineChars="0" w:firstLine="0"/>
              <w:jc w:val="center"/>
              <w:rPr>
                <w:kern w:val="0"/>
              </w:rPr>
            </w:pPr>
            <w:r w:rsidRPr="00613C4A">
              <w:rPr>
                <w:i/>
                <w:iCs/>
                <w:kern w:val="0"/>
              </w:rPr>
              <w:t>t</w:t>
            </w:r>
            <w:r w:rsidRPr="00613C4A">
              <w:rPr>
                <w:kern w:val="0"/>
              </w:rPr>
              <w:t>-value</w:t>
            </w:r>
          </w:p>
        </w:tc>
        <w:tc>
          <w:tcPr>
            <w:tcW w:w="1275" w:type="dxa"/>
            <w:vAlign w:val="center"/>
          </w:tcPr>
          <w:p w14:paraId="3C5A0959" w14:textId="7844B3AA" w:rsidR="00A75B9F" w:rsidRPr="00613C4A" w:rsidRDefault="00A75B9F" w:rsidP="003E76CA">
            <w:pPr>
              <w:autoSpaceDE w:val="0"/>
              <w:autoSpaceDN w:val="0"/>
              <w:adjustRightInd w:val="0"/>
              <w:ind w:firstLineChars="0" w:firstLine="0"/>
              <w:jc w:val="center"/>
              <w:rPr>
                <w:kern w:val="0"/>
              </w:rPr>
            </w:pPr>
            <w:r w:rsidRPr="00613C4A">
              <w:rPr>
                <w:i/>
                <w:iCs/>
                <w:kern w:val="0"/>
              </w:rPr>
              <w:t>p</w:t>
            </w:r>
            <w:r w:rsidRPr="00613C4A">
              <w:rPr>
                <w:kern w:val="0"/>
              </w:rPr>
              <w:t>-value</w:t>
            </w:r>
          </w:p>
        </w:tc>
        <w:tc>
          <w:tcPr>
            <w:tcW w:w="2314" w:type="dxa"/>
            <w:vAlign w:val="center"/>
          </w:tcPr>
          <w:p w14:paraId="67329FFE" w14:textId="744D5CAE" w:rsidR="00A75B9F" w:rsidRPr="00613C4A" w:rsidRDefault="00A75B9F" w:rsidP="005446B0">
            <w:pPr>
              <w:autoSpaceDE w:val="0"/>
              <w:autoSpaceDN w:val="0"/>
              <w:adjustRightInd w:val="0"/>
              <w:ind w:firstLineChars="0" w:firstLine="0"/>
              <w:jc w:val="center"/>
              <w:rPr>
                <w:kern w:val="0"/>
              </w:rPr>
            </w:pPr>
            <w:r w:rsidRPr="00613C4A">
              <w:rPr>
                <w:kern w:val="0"/>
              </w:rPr>
              <w:t>(95% Conf</w:t>
            </w:r>
            <w:r w:rsidR="005446B0">
              <w:rPr>
                <w:rFonts w:eastAsiaTheme="minorEastAsia" w:hint="eastAsia"/>
                <w:kern w:val="0"/>
              </w:rPr>
              <w:t xml:space="preserve"> </w:t>
            </w:r>
            <w:r w:rsidRPr="00613C4A">
              <w:rPr>
                <w:kern w:val="0"/>
              </w:rPr>
              <w:t>Interval)</w:t>
            </w:r>
          </w:p>
        </w:tc>
        <w:tc>
          <w:tcPr>
            <w:tcW w:w="672" w:type="dxa"/>
            <w:vAlign w:val="center"/>
          </w:tcPr>
          <w:p w14:paraId="1C30C877" w14:textId="0F2B5C41" w:rsidR="00A75B9F" w:rsidRPr="00613C4A" w:rsidRDefault="00A75B9F" w:rsidP="003E76CA">
            <w:pPr>
              <w:autoSpaceDE w:val="0"/>
              <w:autoSpaceDN w:val="0"/>
              <w:adjustRightInd w:val="0"/>
              <w:ind w:firstLineChars="0" w:firstLine="0"/>
              <w:jc w:val="center"/>
              <w:rPr>
                <w:kern w:val="0"/>
              </w:rPr>
            </w:pPr>
            <w:r w:rsidRPr="00613C4A">
              <w:rPr>
                <w:kern w:val="0"/>
              </w:rPr>
              <w:t>Sig</w:t>
            </w:r>
          </w:p>
        </w:tc>
      </w:tr>
      <w:tr w:rsidR="00613C4A" w:rsidRPr="00613C4A" w14:paraId="1365D2AE" w14:textId="77777777" w:rsidTr="00650CCE">
        <w:trPr>
          <w:trHeight w:val="454"/>
          <w:jc w:val="center"/>
        </w:trPr>
        <w:tc>
          <w:tcPr>
            <w:tcW w:w="1978" w:type="dxa"/>
            <w:vAlign w:val="center"/>
          </w:tcPr>
          <w:p w14:paraId="5BE2DBBC" w14:textId="77777777" w:rsidR="00A75B9F" w:rsidRPr="00613C4A" w:rsidRDefault="00A75B9F" w:rsidP="003E76CA">
            <w:pPr>
              <w:autoSpaceDE w:val="0"/>
              <w:autoSpaceDN w:val="0"/>
              <w:adjustRightInd w:val="0"/>
              <w:ind w:firstLineChars="0" w:firstLine="0"/>
              <w:jc w:val="left"/>
              <w:rPr>
                <w:kern w:val="0"/>
              </w:rPr>
            </w:pPr>
            <w:r w:rsidRPr="00613C4A">
              <w:rPr>
                <w:kern w:val="0"/>
              </w:rPr>
              <w:t>Time</w:t>
            </w:r>
          </w:p>
        </w:tc>
        <w:tc>
          <w:tcPr>
            <w:tcW w:w="1133" w:type="dxa"/>
            <w:vAlign w:val="center"/>
          </w:tcPr>
          <w:p w14:paraId="29149F2E" w14:textId="6C702C03" w:rsidR="00A75B9F" w:rsidRPr="00613C4A" w:rsidRDefault="00A75B9F" w:rsidP="003E76CA">
            <w:pPr>
              <w:autoSpaceDE w:val="0"/>
              <w:autoSpaceDN w:val="0"/>
              <w:adjustRightInd w:val="0"/>
              <w:ind w:firstLineChars="0" w:firstLine="0"/>
              <w:jc w:val="center"/>
              <w:rPr>
                <w:kern w:val="0"/>
              </w:rPr>
            </w:pPr>
            <w:r w:rsidRPr="00613C4A">
              <w:t>−0</w:t>
            </w:r>
            <w:r w:rsidRPr="00613C4A">
              <w:rPr>
                <w:kern w:val="0"/>
              </w:rPr>
              <w:t>.013</w:t>
            </w:r>
          </w:p>
        </w:tc>
        <w:tc>
          <w:tcPr>
            <w:tcW w:w="1134" w:type="dxa"/>
            <w:vAlign w:val="center"/>
          </w:tcPr>
          <w:p w14:paraId="172B600F" w14:textId="161EFB47" w:rsidR="00A75B9F" w:rsidRPr="00613C4A" w:rsidRDefault="00A75B9F" w:rsidP="003E76CA">
            <w:pPr>
              <w:autoSpaceDE w:val="0"/>
              <w:autoSpaceDN w:val="0"/>
              <w:adjustRightInd w:val="0"/>
              <w:ind w:firstLineChars="0" w:firstLine="0"/>
              <w:jc w:val="center"/>
              <w:rPr>
                <w:kern w:val="0"/>
              </w:rPr>
            </w:pPr>
            <w:r w:rsidRPr="00613C4A">
              <w:rPr>
                <w:kern w:val="0"/>
              </w:rPr>
              <w:t>0.005</w:t>
            </w:r>
          </w:p>
        </w:tc>
        <w:tc>
          <w:tcPr>
            <w:tcW w:w="1134" w:type="dxa"/>
            <w:vAlign w:val="center"/>
          </w:tcPr>
          <w:p w14:paraId="7610E9B3" w14:textId="3495F946" w:rsidR="00A75B9F" w:rsidRPr="00613C4A" w:rsidRDefault="00A75B9F" w:rsidP="003E76CA">
            <w:pPr>
              <w:autoSpaceDE w:val="0"/>
              <w:autoSpaceDN w:val="0"/>
              <w:adjustRightInd w:val="0"/>
              <w:ind w:firstLineChars="0" w:firstLine="0"/>
              <w:jc w:val="center"/>
              <w:rPr>
                <w:kern w:val="0"/>
              </w:rPr>
            </w:pPr>
            <w:r w:rsidRPr="00613C4A">
              <w:t>−</w:t>
            </w:r>
            <w:r w:rsidRPr="00613C4A">
              <w:rPr>
                <w:kern w:val="0"/>
              </w:rPr>
              <w:t>2.86</w:t>
            </w:r>
          </w:p>
        </w:tc>
        <w:tc>
          <w:tcPr>
            <w:tcW w:w="1275" w:type="dxa"/>
            <w:vAlign w:val="center"/>
          </w:tcPr>
          <w:p w14:paraId="01E27875" w14:textId="74C0A302" w:rsidR="00A75B9F" w:rsidRPr="00613C4A" w:rsidRDefault="00A75B9F" w:rsidP="003E76CA">
            <w:pPr>
              <w:autoSpaceDE w:val="0"/>
              <w:autoSpaceDN w:val="0"/>
              <w:adjustRightInd w:val="0"/>
              <w:ind w:firstLineChars="0" w:firstLine="0"/>
              <w:jc w:val="center"/>
              <w:rPr>
                <w:kern w:val="0"/>
              </w:rPr>
            </w:pPr>
            <w:r w:rsidRPr="00613C4A">
              <w:rPr>
                <w:kern w:val="0"/>
              </w:rPr>
              <w:t>0.004</w:t>
            </w:r>
          </w:p>
        </w:tc>
        <w:tc>
          <w:tcPr>
            <w:tcW w:w="2314" w:type="dxa"/>
            <w:vAlign w:val="center"/>
          </w:tcPr>
          <w:p w14:paraId="29467F9E" w14:textId="146D4808" w:rsidR="00A75B9F" w:rsidRPr="00613C4A" w:rsidRDefault="00A75B9F" w:rsidP="00A75B9F">
            <w:pPr>
              <w:autoSpaceDE w:val="0"/>
              <w:autoSpaceDN w:val="0"/>
              <w:adjustRightInd w:val="0"/>
              <w:ind w:firstLineChars="0" w:firstLine="0"/>
              <w:jc w:val="center"/>
              <w:rPr>
                <w:kern w:val="0"/>
              </w:rPr>
            </w:pPr>
            <w:r w:rsidRPr="00613C4A">
              <w:t>−0</w:t>
            </w:r>
            <w:r w:rsidRPr="00613C4A">
              <w:rPr>
                <w:kern w:val="0"/>
              </w:rPr>
              <w:t>.022–</w:t>
            </w:r>
            <w:r w:rsidRPr="00613C4A">
              <w:t>−0</w:t>
            </w:r>
            <w:r w:rsidRPr="00613C4A">
              <w:rPr>
                <w:kern w:val="0"/>
              </w:rPr>
              <w:t>.004</w:t>
            </w:r>
          </w:p>
        </w:tc>
        <w:tc>
          <w:tcPr>
            <w:tcW w:w="672" w:type="dxa"/>
            <w:vAlign w:val="center"/>
          </w:tcPr>
          <w:p w14:paraId="109A8826" w14:textId="77777777" w:rsidR="00A75B9F" w:rsidRPr="00613C4A" w:rsidRDefault="00A75B9F" w:rsidP="003E76CA">
            <w:pPr>
              <w:autoSpaceDE w:val="0"/>
              <w:autoSpaceDN w:val="0"/>
              <w:adjustRightInd w:val="0"/>
              <w:ind w:firstLineChars="0" w:firstLine="0"/>
              <w:jc w:val="center"/>
              <w:rPr>
                <w:kern w:val="0"/>
              </w:rPr>
            </w:pPr>
            <w:r w:rsidRPr="00613C4A">
              <w:rPr>
                <w:kern w:val="0"/>
              </w:rPr>
              <w:t>***</w:t>
            </w:r>
          </w:p>
        </w:tc>
      </w:tr>
      <w:tr w:rsidR="00613C4A" w:rsidRPr="00613C4A" w14:paraId="7E9FD30F" w14:textId="77777777" w:rsidTr="003654E9">
        <w:trPr>
          <w:trHeight w:val="454"/>
          <w:jc w:val="center"/>
        </w:trPr>
        <w:tc>
          <w:tcPr>
            <w:tcW w:w="1978" w:type="dxa"/>
            <w:vAlign w:val="center"/>
          </w:tcPr>
          <w:p w14:paraId="44500B84" w14:textId="77777777" w:rsidR="00A75B9F" w:rsidRPr="00613C4A" w:rsidRDefault="00A75B9F" w:rsidP="003E76CA">
            <w:pPr>
              <w:autoSpaceDE w:val="0"/>
              <w:autoSpaceDN w:val="0"/>
              <w:adjustRightInd w:val="0"/>
              <w:ind w:firstLineChars="0" w:firstLine="0"/>
              <w:jc w:val="left"/>
              <w:rPr>
                <w:kern w:val="0"/>
              </w:rPr>
            </w:pPr>
            <w:r w:rsidRPr="00613C4A">
              <w:rPr>
                <w:kern w:val="0"/>
              </w:rPr>
              <w:t>Outcome</w:t>
            </w:r>
          </w:p>
        </w:tc>
        <w:tc>
          <w:tcPr>
            <w:tcW w:w="1133" w:type="dxa"/>
            <w:vAlign w:val="center"/>
          </w:tcPr>
          <w:p w14:paraId="4DD6AA88" w14:textId="6D133AB5" w:rsidR="00A75B9F" w:rsidRPr="00613C4A" w:rsidRDefault="00A75B9F" w:rsidP="003E76CA">
            <w:pPr>
              <w:autoSpaceDE w:val="0"/>
              <w:autoSpaceDN w:val="0"/>
              <w:adjustRightInd w:val="0"/>
              <w:ind w:firstLineChars="0" w:firstLine="0"/>
              <w:jc w:val="center"/>
              <w:rPr>
                <w:kern w:val="0"/>
              </w:rPr>
            </w:pPr>
            <w:bookmarkStart w:id="1" w:name="_Hlk131772129"/>
            <w:r w:rsidRPr="00613C4A">
              <w:t>−</w:t>
            </w:r>
            <w:bookmarkEnd w:id="1"/>
            <w:r w:rsidRPr="00613C4A">
              <w:rPr>
                <w:kern w:val="0"/>
              </w:rPr>
              <w:t>3.051</w:t>
            </w:r>
          </w:p>
        </w:tc>
        <w:tc>
          <w:tcPr>
            <w:tcW w:w="1134" w:type="dxa"/>
            <w:vAlign w:val="center"/>
          </w:tcPr>
          <w:p w14:paraId="3F590C9B" w14:textId="47C1F641" w:rsidR="00A75B9F" w:rsidRPr="00613C4A" w:rsidRDefault="00A75B9F" w:rsidP="003E76CA">
            <w:pPr>
              <w:autoSpaceDE w:val="0"/>
              <w:autoSpaceDN w:val="0"/>
              <w:adjustRightInd w:val="0"/>
              <w:ind w:firstLineChars="0" w:firstLine="0"/>
              <w:jc w:val="center"/>
              <w:rPr>
                <w:kern w:val="0"/>
              </w:rPr>
            </w:pPr>
            <w:r w:rsidRPr="00613C4A">
              <w:rPr>
                <w:kern w:val="0"/>
              </w:rPr>
              <w:t>1.07</w:t>
            </w:r>
            <w:r w:rsidR="00F35F6D" w:rsidRPr="00613C4A">
              <w:rPr>
                <w:kern w:val="0"/>
              </w:rPr>
              <w:t>0</w:t>
            </w:r>
          </w:p>
        </w:tc>
        <w:tc>
          <w:tcPr>
            <w:tcW w:w="1134" w:type="dxa"/>
            <w:vAlign w:val="center"/>
          </w:tcPr>
          <w:p w14:paraId="5645710C" w14:textId="66E5BD84" w:rsidR="00A75B9F" w:rsidRPr="00613C4A" w:rsidRDefault="00A75B9F" w:rsidP="003E76CA">
            <w:pPr>
              <w:autoSpaceDE w:val="0"/>
              <w:autoSpaceDN w:val="0"/>
              <w:adjustRightInd w:val="0"/>
              <w:ind w:firstLineChars="0" w:firstLine="0"/>
              <w:jc w:val="center"/>
              <w:rPr>
                <w:kern w:val="0"/>
              </w:rPr>
            </w:pPr>
            <w:r w:rsidRPr="00613C4A">
              <w:t>−</w:t>
            </w:r>
            <w:r w:rsidRPr="00613C4A">
              <w:rPr>
                <w:kern w:val="0"/>
              </w:rPr>
              <w:t>2.85</w:t>
            </w:r>
          </w:p>
        </w:tc>
        <w:tc>
          <w:tcPr>
            <w:tcW w:w="1275" w:type="dxa"/>
            <w:vAlign w:val="center"/>
          </w:tcPr>
          <w:p w14:paraId="410EB1ED" w14:textId="6EB0191F" w:rsidR="00A75B9F" w:rsidRPr="00613C4A" w:rsidRDefault="00A75B9F" w:rsidP="003E76CA">
            <w:pPr>
              <w:autoSpaceDE w:val="0"/>
              <w:autoSpaceDN w:val="0"/>
              <w:adjustRightInd w:val="0"/>
              <w:ind w:firstLineChars="0" w:firstLine="0"/>
              <w:jc w:val="center"/>
              <w:rPr>
                <w:kern w:val="0"/>
              </w:rPr>
            </w:pPr>
            <w:r w:rsidRPr="00613C4A">
              <w:rPr>
                <w:kern w:val="0"/>
              </w:rPr>
              <w:t>0.004</w:t>
            </w:r>
          </w:p>
        </w:tc>
        <w:tc>
          <w:tcPr>
            <w:tcW w:w="2314" w:type="dxa"/>
            <w:vAlign w:val="center"/>
          </w:tcPr>
          <w:p w14:paraId="240BDEC7" w14:textId="6D44D12F" w:rsidR="00A75B9F" w:rsidRPr="00613C4A" w:rsidRDefault="00A75B9F" w:rsidP="00A75B9F">
            <w:pPr>
              <w:autoSpaceDE w:val="0"/>
              <w:autoSpaceDN w:val="0"/>
              <w:adjustRightInd w:val="0"/>
              <w:ind w:firstLineChars="0" w:firstLine="0"/>
              <w:jc w:val="center"/>
              <w:rPr>
                <w:kern w:val="0"/>
              </w:rPr>
            </w:pPr>
            <w:r w:rsidRPr="00613C4A">
              <w:t>−</w:t>
            </w:r>
            <w:r w:rsidRPr="00613C4A">
              <w:rPr>
                <w:kern w:val="0"/>
              </w:rPr>
              <w:t>5.149–</w:t>
            </w:r>
            <w:r w:rsidRPr="00613C4A">
              <w:t>−0</w:t>
            </w:r>
            <w:r w:rsidRPr="00613C4A">
              <w:rPr>
                <w:kern w:val="0"/>
              </w:rPr>
              <w:t>.953</w:t>
            </w:r>
          </w:p>
        </w:tc>
        <w:tc>
          <w:tcPr>
            <w:tcW w:w="672" w:type="dxa"/>
            <w:vAlign w:val="center"/>
          </w:tcPr>
          <w:p w14:paraId="766E4025" w14:textId="77777777" w:rsidR="00A75B9F" w:rsidRPr="00613C4A" w:rsidRDefault="00A75B9F" w:rsidP="003E76CA">
            <w:pPr>
              <w:autoSpaceDE w:val="0"/>
              <w:autoSpaceDN w:val="0"/>
              <w:adjustRightInd w:val="0"/>
              <w:ind w:firstLineChars="0" w:firstLine="0"/>
              <w:jc w:val="center"/>
              <w:rPr>
                <w:kern w:val="0"/>
              </w:rPr>
            </w:pPr>
            <w:r w:rsidRPr="00613C4A">
              <w:rPr>
                <w:kern w:val="0"/>
              </w:rPr>
              <w:t>***</w:t>
            </w:r>
          </w:p>
        </w:tc>
      </w:tr>
      <w:tr w:rsidR="00613C4A" w:rsidRPr="00613C4A" w14:paraId="75AF47D3" w14:textId="77777777" w:rsidTr="00422866">
        <w:trPr>
          <w:trHeight w:val="454"/>
          <w:jc w:val="center"/>
        </w:trPr>
        <w:tc>
          <w:tcPr>
            <w:tcW w:w="1978" w:type="dxa"/>
            <w:vAlign w:val="center"/>
          </w:tcPr>
          <w:p w14:paraId="5470DDF5" w14:textId="77777777" w:rsidR="00A75B9F" w:rsidRPr="00613C4A" w:rsidRDefault="00A75B9F" w:rsidP="003E76CA">
            <w:pPr>
              <w:autoSpaceDE w:val="0"/>
              <w:autoSpaceDN w:val="0"/>
              <w:adjustRightInd w:val="0"/>
              <w:ind w:firstLineChars="0" w:firstLine="0"/>
              <w:jc w:val="left"/>
              <w:rPr>
                <w:kern w:val="0"/>
              </w:rPr>
            </w:pPr>
            <w:r w:rsidRPr="00613C4A">
              <w:rPr>
                <w:kern w:val="0"/>
              </w:rPr>
              <w:t>Constant</w:t>
            </w:r>
          </w:p>
        </w:tc>
        <w:tc>
          <w:tcPr>
            <w:tcW w:w="1133" w:type="dxa"/>
            <w:vAlign w:val="center"/>
          </w:tcPr>
          <w:p w14:paraId="08FFF56C" w14:textId="77777777" w:rsidR="00A75B9F" w:rsidRPr="00613C4A" w:rsidRDefault="00A75B9F" w:rsidP="003E76CA">
            <w:pPr>
              <w:autoSpaceDE w:val="0"/>
              <w:autoSpaceDN w:val="0"/>
              <w:adjustRightInd w:val="0"/>
              <w:ind w:firstLineChars="0" w:firstLine="0"/>
              <w:jc w:val="center"/>
              <w:rPr>
                <w:kern w:val="0"/>
              </w:rPr>
            </w:pPr>
            <w:r w:rsidRPr="00613C4A">
              <w:rPr>
                <w:kern w:val="0"/>
              </w:rPr>
              <w:t>13.891</w:t>
            </w:r>
          </w:p>
        </w:tc>
        <w:tc>
          <w:tcPr>
            <w:tcW w:w="1134" w:type="dxa"/>
            <w:vAlign w:val="center"/>
          </w:tcPr>
          <w:p w14:paraId="5E76D58C" w14:textId="77777777" w:rsidR="00A75B9F" w:rsidRPr="00613C4A" w:rsidRDefault="00A75B9F" w:rsidP="003E76CA">
            <w:pPr>
              <w:autoSpaceDE w:val="0"/>
              <w:autoSpaceDN w:val="0"/>
              <w:adjustRightInd w:val="0"/>
              <w:ind w:firstLineChars="0" w:firstLine="0"/>
              <w:jc w:val="center"/>
              <w:rPr>
                <w:kern w:val="0"/>
              </w:rPr>
            </w:pPr>
            <w:r w:rsidRPr="00613C4A">
              <w:rPr>
                <w:kern w:val="0"/>
              </w:rPr>
              <w:t>1.075</w:t>
            </w:r>
          </w:p>
        </w:tc>
        <w:tc>
          <w:tcPr>
            <w:tcW w:w="1134" w:type="dxa"/>
            <w:vAlign w:val="center"/>
          </w:tcPr>
          <w:p w14:paraId="0FEB473C" w14:textId="77777777" w:rsidR="00A75B9F" w:rsidRPr="00613C4A" w:rsidRDefault="00A75B9F" w:rsidP="003E76CA">
            <w:pPr>
              <w:autoSpaceDE w:val="0"/>
              <w:autoSpaceDN w:val="0"/>
              <w:adjustRightInd w:val="0"/>
              <w:ind w:firstLineChars="0" w:firstLine="0"/>
              <w:jc w:val="center"/>
              <w:rPr>
                <w:kern w:val="0"/>
              </w:rPr>
            </w:pPr>
            <w:r w:rsidRPr="00613C4A">
              <w:rPr>
                <w:kern w:val="0"/>
              </w:rPr>
              <w:t>12.92</w:t>
            </w:r>
          </w:p>
        </w:tc>
        <w:tc>
          <w:tcPr>
            <w:tcW w:w="1275" w:type="dxa"/>
            <w:vAlign w:val="center"/>
          </w:tcPr>
          <w:p w14:paraId="50188770" w14:textId="579C8E74" w:rsidR="00A75B9F" w:rsidRPr="00613C4A" w:rsidRDefault="00DE1F4F" w:rsidP="003E76CA">
            <w:pPr>
              <w:autoSpaceDE w:val="0"/>
              <w:autoSpaceDN w:val="0"/>
              <w:adjustRightInd w:val="0"/>
              <w:ind w:firstLineChars="0" w:firstLine="0"/>
              <w:jc w:val="center"/>
              <w:rPr>
                <w:kern w:val="0"/>
              </w:rPr>
            </w:pPr>
            <w:r w:rsidRPr="00613C4A">
              <w:rPr>
                <w:kern w:val="0"/>
              </w:rPr>
              <w:t>&lt;</w:t>
            </w:r>
            <w:r w:rsidR="00A75B9F" w:rsidRPr="00613C4A">
              <w:rPr>
                <w:kern w:val="0"/>
              </w:rPr>
              <w:t>0.00</w:t>
            </w:r>
            <w:r w:rsidRPr="00613C4A">
              <w:rPr>
                <w:kern w:val="0"/>
              </w:rPr>
              <w:t>1</w:t>
            </w:r>
          </w:p>
        </w:tc>
        <w:tc>
          <w:tcPr>
            <w:tcW w:w="2314" w:type="dxa"/>
            <w:vAlign w:val="center"/>
          </w:tcPr>
          <w:p w14:paraId="12036F8C" w14:textId="71B8A029" w:rsidR="00A75B9F" w:rsidRPr="00613C4A" w:rsidRDefault="00A75B9F" w:rsidP="00A75B9F">
            <w:pPr>
              <w:autoSpaceDE w:val="0"/>
              <w:autoSpaceDN w:val="0"/>
              <w:adjustRightInd w:val="0"/>
              <w:ind w:firstLineChars="0" w:firstLine="0"/>
              <w:jc w:val="center"/>
              <w:rPr>
                <w:kern w:val="0"/>
              </w:rPr>
            </w:pPr>
            <w:r w:rsidRPr="00613C4A">
              <w:rPr>
                <w:kern w:val="0"/>
              </w:rPr>
              <w:t>11.783–15.999</w:t>
            </w:r>
          </w:p>
        </w:tc>
        <w:tc>
          <w:tcPr>
            <w:tcW w:w="672" w:type="dxa"/>
            <w:vAlign w:val="center"/>
          </w:tcPr>
          <w:p w14:paraId="28DB072E" w14:textId="77777777" w:rsidR="00A75B9F" w:rsidRPr="00613C4A" w:rsidRDefault="00A75B9F" w:rsidP="003E76CA">
            <w:pPr>
              <w:autoSpaceDE w:val="0"/>
              <w:autoSpaceDN w:val="0"/>
              <w:adjustRightInd w:val="0"/>
              <w:ind w:firstLineChars="0" w:firstLine="0"/>
              <w:jc w:val="center"/>
              <w:rPr>
                <w:kern w:val="0"/>
              </w:rPr>
            </w:pPr>
            <w:r w:rsidRPr="00613C4A">
              <w:rPr>
                <w:kern w:val="0"/>
              </w:rPr>
              <w:t>***</w:t>
            </w:r>
          </w:p>
        </w:tc>
      </w:tr>
      <w:tr w:rsidR="00613C4A" w:rsidRPr="00613C4A" w14:paraId="02804497" w14:textId="77777777" w:rsidTr="00F22369">
        <w:trPr>
          <w:trHeight w:val="454"/>
          <w:jc w:val="center"/>
        </w:trPr>
        <w:tc>
          <w:tcPr>
            <w:tcW w:w="1978" w:type="dxa"/>
            <w:vAlign w:val="center"/>
          </w:tcPr>
          <w:p w14:paraId="60635ADE" w14:textId="77777777" w:rsidR="00A75B9F" w:rsidRPr="00613C4A" w:rsidRDefault="00A75B9F" w:rsidP="003E76CA">
            <w:pPr>
              <w:autoSpaceDE w:val="0"/>
              <w:autoSpaceDN w:val="0"/>
              <w:adjustRightInd w:val="0"/>
              <w:ind w:firstLineChars="0" w:firstLine="0"/>
              <w:jc w:val="left"/>
              <w:rPr>
                <w:kern w:val="0"/>
              </w:rPr>
            </w:pPr>
            <w:r w:rsidRPr="00613C4A">
              <w:rPr>
                <w:kern w:val="0"/>
              </w:rPr>
              <w:t>Constant</w:t>
            </w:r>
          </w:p>
        </w:tc>
        <w:tc>
          <w:tcPr>
            <w:tcW w:w="1133" w:type="dxa"/>
            <w:vAlign w:val="center"/>
          </w:tcPr>
          <w:p w14:paraId="5EA1E22B" w14:textId="77777777" w:rsidR="00A75B9F" w:rsidRPr="00613C4A" w:rsidRDefault="00A75B9F" w:rsidP="003E76CA">
            <w:pPr>
              <w:autoSpaceDE w:val="0"/>
              <w:autoSpaceDN w:val="0"/>
              <w:adjustRightInd w:val="0"/>
              <w:ind w:firstLineChars="0" w:firstLine="0"/>
              <w:jc w:val="center"/>
              <w:rPr>
                <w:kern w:val="0"/>
              </w:rPr>
            </w:pPr>
            <w:r w:rsidRPr="00613C4A">
              <w:rPr>
                <w:kern w:val="0"/>
              </w:rPr>
              <w:t>1.283</w:t>
            </w:r>
          </w:p>
        </w:tc>
        <w:tc>
          <w:tcPr>
            <w:tcW w:w="1134" w:type="dxa"/>
            <w:vAlign w:val="center"/>
          </w:tcPr>
          <w:p w14:paraId="036E7E91" w14:textId="3D9A976E" w:rsidR="00A75B9F" w:rsidRPr="00613C4A" w:rsidRDefault="00A75B9F" w:rsidP="003E76CA">
            <w:pPr>
              <w:autoSpaceDE w:val="0"/>
              <w:autoSpaceDN w:val="0"/>
              <w:adjustRightInd w:val="0"/>
              <w:ind w:firstLineChars="0" w:firstLine="0"/>
              <w:jc w:val="center"/>
              <w:rPr>
                <w:kern w:val="0"/>
              </w:rPr>
            </w:pPr>
            <w:r w:rsidRPr="00613C4A">
              <w:rPr>
                <w:kern w:val="0"/>
              </w:rPr>
              <w:t>0.082</w:t>
            </w:r>
          </w:p>
        </w:tc>
        <w:tc>
          <w:tcPr>
            <w:tcW w:w="1134" w:type="dxa"/>
            <w:vAlign w:val="center"/>
          </w:tcPr>
          <w:p w14:paraId="40FA2637" w14:textId="77777777" w:rsidR="00A75B9F" w:rsidRPr="00613C4A" w:rsidRDefault="00A75B9F" w:rsidP="003E76CA">
            <w:pPr>
              <w:autoSpaceDE w:val="0"/>
              <w:autoSpaceDN w:val="0"/>
              <w:adjustRightInd w:val="0"/>
              <w:ind w:firstLineChars="0" w:firstLine="0"/>
              <w:jc w:val="center"/>
              <w:rPr>
                <w:kern w:val="0"/>
              </w:rPr>
            </w:pPr>
            <w:r w:rsidRPr="00613C4A">
              <w:rPr>
                <w:kern w:val="0"/>
              </w:rPr>
              <w:t>.b</w:t>
            </w:r>
          </w:p>
        </w:tc>
        <w:tc>
          <w:tcPr>
            <w:tcW w:w="1275" w:type="dxa"/>
            <w:vAlign w:val="center"/>
          </w:tcPr>
          <w:p w14:paraId="5798E5E5" w14:textId="77777777" w:rsidR="00A75B9F" w:rsidRPr="00613C4A" w:rsidRDefault="00A75B9F" w:rsidP="003E76CA">
            <w:pPr>
              <w:autoSpaceDE w:val="0"/>
              <w:autoSpaceDN w:val="0"/>
              <w:adjustRightInd w:val="0"/>
              <w:ind w:firstLineChars="0" w:firstLine="0"/>
              <w:jc w:val="center"/>
              <w:rPr>
                <w:kern w:val="0"/>
              </w:rPr>
            </w:pPr>
            <w:r w:rsidRPr="00613C4A">
              <w:rPr>
                <w:kern w:val="0"/>
              </w:rPr>
              <w:t>.b</w:t>
            </w:r>
          </w:p>
        </w:tc>
        <w:tc>
          <w:tcPr>
            <w:tcW w:w="2314" w:type="dxa"/>
            <w:vAlign w:val="center"/>
          </w:tcPr>
          <w:p w14:paraId="7E8172A5" w14:textId="3E84D9D4" w:rsidR="00A75B9F" w:rsidRPr="00613C4A" w:rsidRDefault="00A75B9F" w:rsidP="00A75B9F">
            <w:pPr>
              <w:autoSpaceDE w:val="0"/>
              <w:autoSpaceDN w:val="0"/>
              <w:adjustRightInd w:val="0"/>
              <w:ind w:firstLineChars="0" w:firstLine="0"/>
              <w:jc w:val="center"/>
              <w:rPr>
                <w:kern w:val="0"/>
              </w:rPr>
            </w:pPr>
            <w:r w:rsidRPr="00613C4A">
              <w:rPr>
                <w:kern w:val="0"/>
              </w:rPr>
              <w:t>1.131–1.454</w:t>
            </w:r>
          </w:p>
        </w:tc>
        <w:tc>
          <w:tcPr>
            <w:tcW w:w="672" w:type="dxa"/>
            <w:vAlign w:val="center"/>
          </w:tcPr>
          <w:p w14:paraId="471818E8" w14:textId="77777777" w:rsidR="00A75B9F" w:rsidRPr="00613C4A" w:rsidRDefault="00A75B9F" w:rsidP="003E76CA">
            <w:pPr>
              <w:autoSpaceDE w:val="0"/>
              <w:autoSpaceDN w:val="0"/>
              <w:adjustRightInd w:val="0"/>
              <w:ind w:firstLineChars="0" w:firstLine="0"/>
              <w:jc w:val="center"/>
              <w:rPr>
                <w:kern w:val="0"/>
              </w:rPr>
            </w:pPr>
          </w:p>
        </w:tc>
      </w:tr>
      <w:tr w:rsidR="00613C4A" w:rsidRPr="00613C4A" w14:paraId="061BE519" w14:textId="62BF2667" w:rsidTr="00A75B9F">
        <w:trPr>
          <w:trHeight w:val="454"/>
          <w:jc w:val="center"/>
        </w:trPr>
        <w:tc>
          <w:tcPr>
            <w:tcW w:w="1978" w:type="dxa"/>
            <w:vAlign w:val="center"/>
          </w:tcPr>
          <w:p w14:paraId="11C2E9C4" w14:textId="77777777" w:rsidR="003E76CA" w:rsidRPr="00613C4A" w:rsidRDefault="003E76CA" w:rsidP="003E76CA">
            <w:pPr>
              <w:autoSpaceDE w:val="0"/>
              <w:autoSpaceDN w:val="0"/>
              <w:adjustRightInd w:val="0"/>
              <w:ind w:firstLineChars="0" w:firstLine="0"/>
              <w:jc w:val="left"/>
              <w:rPr>
                <w:kern w:val="0"/>
              </w:rPr>
            </w:pPr>
            <w:r w:rsidRPr="00613C4A">
              <w:rPr>
                <w:kern w:val="0"/>
              </w:rPr>
              <w:t>Mean dependent var</w:t>
            </w:r>
          </w:p>
        </w:tc>
        <w:tc>
          <w:tcPr>
            <w:tcW w:w="2267" w:type="dxa"/>
            <w:gridSpan w:val="2"/>
            <w:vAlign w:val="center"/>
          </w:tcPr>
          <w:p w14:paraId="7D8EB2F4" w14:textId="77777777" w:rsidR="003E76CA" w:rsidRPr="00613C4A" w:rsidRDefault="003E76CA" w:rsidP="003E76CA">
            <w:pPr>
              <w:autoSpaceDE w:val="0"/>
              <w:autoSpaceDN w:val="0"/>
              <w:adjustRightInd w:val="0"/>
              <w:ind w:firstLineChars="0" w:firstLine="0"/>
              <w:jc w:val="center"/>
              <w:rPr>
                <w:kern w:val="0"/>
              </w:rPr>
            </w:pPr>
            <w:r w:rsidRPr="00613C4A">
              <w:rPr>
                <w:kern w:val="0"/>
              </w:rPr>
              <w:t>10.032</w:t>
            </w:r>
          </w:p>
        </w:tc>
        <w:tc>
          <w:tcPr>
            <w:tcW w:w="2409" w:type="dxa"/>
            <w:gridSpan w:val="2"/>
            <w:vAlign w:val="center"/>
          </w:tcPr>
          <w:p w14:paraId="66744807" w14:textId="0D7EE110" w:rsidR="003E76CA" w:rsidRPr="00613C4A" w:rsidRDefault="003E76CA" w:rsidP="003E76CA">
            <w:pPr>
              <w:autoSpaceDE w:val="0"/>
              <w:autoSpaceDN w:val="0"/>
              <w:adjustRightInd w:val="0"/>
              <w:ind w:firstLineChars="0" w:firstLine="0"/>
              <w:jc w:val="center"/>
              <w:rPr>
                <w:kern w:val="0"/>
              </w:rPr>
            </w:pPr>
            <w:r w:rsidRPr="00613C4A">
              <w:rPr>
                <w:kern w:val="0"/>
              </w:rPr>
              <w:t>SD dependent var</w:t>
            </w:r>
          </w:p>
        </w:tc>
        <w:tc>
          <w:tcPr>
            <w:tcW w:w="2314" w:type="dxa"/>
            <w:vAlign w:val="center"/>
          </w:tcPr>
          <w:p w14:paraId="15FC2B75" w14:textId="77777777" w:rsidR="003E76CA" w:rsidRPr="00613C4A" w:rsidRDefault="003E76CA" w:rsidP="003E76CA">
            <w:pPr>
              <w:autoSpaceDE w:val="0"/>
              <w:autoSpaceDN w:val="0"/>
              <w:adjustRightInd w:val="0"/>
              <w:ind w:firstLineChars="0" w:firstLine="0"/>
              <w:jc w:val="center"/>
              <w:rPr>
                <w:kern w:val="0"/>
              </w:rPr>
            </w:pPr>
            <w:r w:rsidRPr="00613C4A">
              <w:rPr>
                <w:kern w:val="0"/>
              </w:rPr>
              <w:t>4.014</w:t>
            </w:r>
          </w:p>
        </w:tc>
        <w:tc>
          <w:tcPr>
            <w:tcW w:w="672" w:type="dxa"/>
            <w:vAlign w:val="center"/>
          </w:tcPr>
          <w:p w14:paraId="5A312006" w14:textId="77777777" w:rsidR="003E76CA" w:rsidRPr="00613C4A" w:rsidRDefault="003E76CA" w:rsidP="003E76CA">
            <w:pPr>
              <w:autoSpaceDE w:val="0"/>
              <w:autoSpaceDN w:val="0"/>
              <w:adjustRightInd w:val="0"/>
              <w:ind w:firstLineChars="0" w:firstLine="0"/>
              <w:jc w:val="center"/>
              <w:rPr>
                <w:kern w:val="0"/>
              </w:rPr>
            </w:pPr>
          </w:p>
        </w:tc>
      </w:tr>
      <w:tr w:rsidR="00613C4A" w:rsidRPr="00613C4A" w14:paraId="397D4BBF" w14:textId="117E6909" w:rsidTr="00A75B9F">
        <w:trPr>
          <w:trHeight w:val="454"/>
          <w:jc w:val="center"/>
        </w:trPr>
        <w:tc>
          <w:tcPr>
            <w:tcW w:w="1978" w:type="dxa"/>
            <w:vAlign w:val="center"/>
          </w:tcPr>
          <w:p w14:paraId="7730AF65" w14:textId="578CE62C" w:rsidR="003E76CA" w:rsidRPr="00613C4A" w:rsidRDefault="003E76CA" w:rsidP="003E76CA">
            <w:pPr>
              <w:autoSpaceDE w:val="0"/>
              <w:autoSpaceDN w:val="0"/>
              <w:adjustRightInd w:val="0"/>
              <w:ind w:firstLineChars="0" w:firstLine="0"/>
              <w:jc w:val="left"/>
              <w:rPr>
                <w:kern w:val="0"/>
              </w:rPr>
            </w:pPr>
            <w:r w:rsidRPr="00613C4A">
              <w:rPr>
                <w:kern w:val="0"/>
              </w:rPr>
              <w:t xml:space="preserve">Number of </w:t>
            </w:r>
            <w:proofErr w:type="spellStart"/>
            <w:r w:rsidRPr="00613C4A">
              <w:rPr>
                <w:kern w:val="0"/>
              </w:rPr>
              <w:t>obs</w:t>
            </w:r>
            <w:proofErr w:type="spellEnd"/>
          </w:p>
        </w:tc>
        <w:tc>
          <w:tcPr>
            <w:tcW w:w="2267" w:type="dxa"/>
            <w:gridSpan w:val="2"/>
            <w:vAlign w:val="center"/>
          </w:tcPr>
          <w:p w14:paraId="21C5A231" w14:textId="77777777" w:rsidR="003E76CA" w:rsidRPr="00613C4A" w:rsidRDefault="003E76CA" w:rsidP="003E76CA">
            <w:pPr>
              <w:autoSpaceDE w:val="0"/>
              <w:autoSpaceDN w:val="0"/>
              <w:adjustRightInd w:val="0"/>
              <w:ind w:firstLineChars="0" w:firstLine="0"/>
              <w:jc w:val="center"/>
              <w:rPr>
                <w:kern w:val="0"/>
              </w:rPr>
            </w:pPr>
            <w:r w:rsidRPr="00613C4A">
              <w:rPr>
                <w:kern w:val="0"/>
              </w:rPr>
              <w:t>74</w:t>
            </w:r>
          </w:p>
        </w:tc>
        <w:tc>
          <w:tcPr>
            <w:tcW w:w="2409" w:type="dxa"/>
            <w:gridSpan w:val="2"/>
            <w:vAlign w:val="center"/>
          </w:tcPr>
          <w:p w14:paraId="35EBE5E0" w14:textId="53670B23" w:rsidR="003E76CA" w:rsidRPr="00613C4A" w:rsidRDefault="003E76CA" w:rsidP="003E76CA">
            <w:pPr>
              <w:autoSpaceDE w:val="0"/>
              <w:autoSpaceDN w:val="0"/>
              <w:adjustRightInd w:val="0"/>
              <w:ind w:firstLineChars="0" w:firstLine="0"/>
              <w:jc w:val="center"/>
              <w:rPr>
                <w:kern w:val="0"/>
              </w:rPr>
            </w:pPr>
            <w:r w:rsidRPr="00613C4A">
              <w:rPr>
                <w:kern w:val="0"/>
              </w:rPr>
              <w:t>Chi-square</w:t>
            </w:r>
          </w:p>
        </w:tc>
        <w:tc>
          <w:tcPr>
            <w:tcW w:w="2314" w:type="dxa"/>
            <w:vAlign w:val="center"/>
          </w:tcPr>
          <w:p w14:paraId="35DEA56E" w14:textId="77777777" w:rsidR="003E76CA" w:rsidRPr="00613C4A" w:rsidRDefault="003E76CA" w:rsidP="003E76CA">
            <w:pPr>
              <w:autoSpaceDE w:val="0"/>
              <w:autoSpaceDN w:val="0"/>
              <w:adjustRightInd w:val="0"/>
              <w:ind w:firstLineChars="0" w:firstLine="0"/>
              <w:jc w:val="center"/>
              <w:rPr>
                <w:kern w:val="0"/>
              </w:rPr>
            </w:pPr>
            <w:r w:rsidRPr="00613C4A">
              <w:rPr>
                <w:kern w:val="0"/>
              </w:rPr>
              <w:t>16.439</w:t>
            </w:r>
          </w:p>
        </w:tc>
        <w:tc>
          <w:tcPr>
            <w:tcW w:w="672" w:type="dxa"/>
            <w:vAlign w:val="center"/>
          </w:tcPr>
          <w:p w14:paraId="399029A7" w14:textId="77777777" w:rsidR="003E76CA" w:rsidRPr="00613C4A" w:rsidRDefault="003E76CA" w:rsidP="003E76CA">
            <w:pPr>
              <w:autoSpaceDE w:val="0"/>
              <w:autoSpaceDN w:val="0"/>
              <w:adjustRightInd w:val="0"/>
              <w:ind w:firstLineChars="0" w:firstLine="0"/>
              <w:jc w:val="center"/>
              <w:rPr>
                <w:kern w:val="0"/>
              </w:rPr>
            </w:pPr>
          </w:p>
        </w:tc>
      </w:tr>
      <w:tr w:rsidR="00613C4A" w:rsidRPr="00613C4A" w14:paraId="6D084C9D" w14:textId="50100CEF" w:rsidTr="00A75B9F">
        <w:trPr>
          <w:trHeight w:val="454"/>
          <w:jc w:val="center"/>
        </w:trPr>
        <w:tc>
          <w:tcPr>
            <w:tcW w:w="1978" w:type="dxa"/>
            <w:vAlign w:val="center"/>
          </w:tcPr>
          <w:p w14:paraId="16CFAF9D" w14:textId="33231FCC" w:rsidR="003E76CA" w:rsidRPr="00613C4A" w:rsidRDefault="003E76CA" w:rsidP="003E76CA">
            <w:pPr>
              <w:autoSpaceDE w:val="0"/>
              <w:autoSpaceDN w:val="0"/>
              <w:adjustRightInd w:val="0"/>
              <w:ind w:firstLineChars="0" w:firstLine="0"/>
              <w:jc w:val="left"/>
              <w:rPr>
                <w:kern w:val="0"/>
              </w:rPr>
            </w:pPr>
            <w:r w:rsidRPr="00613C4A">
              <w:rPr>
                <w:kern w:val="0"/>
              </w:rPr>
              <w:t>Prob &gt; chi</w:t>
            </w:r>
            <w:r w:rsidRPr="00613C4A">
              <w:rPr>
                <w:kern w:val="0"/>
                <w:vertAlign w:val="superscript"/>
              </w:rPr>
              <w:t>2</w:t>
            </w:r>
          </w:p>
        </w:tc>
        <w:tc>
          <w:tcPr>
            <w:tcW w:w="2267" w:type="dxa"/>
            <w:gridSpan w:val="2"/>
            <w:vAlign w:val="center"/>
          </w:tcPr>
          <w:p w14:paraId="3890C99E" w14:textId="77777777" w:rsidR="003E76CA" w:rsidRPr="00613C4A" w:rsidRDefault="003E76CA" w:rsidP="003E76CA">
            <w:pPr>
              <w:autoSpaceDE w:val="0"/>
              <w:autoSpaceDN w:val="0"/>
              <w:adjustRightInd w:val="0"/>
              <w:ind w:firstLineChars="0" w:firstLine="0"/>
              <w:jc w:val="center"/>
              <w:rPr>
                <w:kern w:val="0"/>
              </w:rPr>
            </w:pPr>
            <w:r w:rsidRPr="00613C4A">
              <w:rPr>
                <w:kern w:val="0"/>
              </w:rPr>
              <w:t>0.000</w:t>
            </w:r>
          </w:p>
        </w:tc>
        <w:tc>
          <w:tcPr>
            <w:tcW w:w="2409" w:type="dxa"/>
            <w:gridSpan w:val="2"/>
            <w:vAlign w:val="center"/>
          </w:tcPr>
          <w:p w14:paraId="259372FD" w14:textId="77777777" w:rsidR="003E76CA" w:rsidRPr="00613C4A" w:rsidRDefault="003E76CA" w:rsidP="003E76CA">
            <w:pPr>
              <w:autoSpaceDE w:val="0"/>
              <w:autoSpaceDN w:val="0"/>
              <w:adjustRightInd w:val="0"/>
              <w:ind w:firstLineChars="0" w:firstLine="0"/>
              <w:jc w:val="center"/>
              <w:rPr>
                <w:kern w:val="0"/>
              </w:rPr>
            </w:pPr>
            <w:r w:rsidRPr="00613C4A">
              <w:rPr>
                <w:kern w:val="0"/>
              </w:rPr>
              <w:t>Akaike crit. (AIC)</w:t>
            </w:r>
          </w:p>
        </w:tc>
        <w:tc>
          <w:tcPr>
            <w:tcW w:w="2314" w:type="dxa"/>
            <w:vAlign w:val="center"/>
          </w:tcPr>
          <w:p w14:paraId="24AF1D6B" w14:textId="77777777" w:rsidR="003E76CA" w:rsidRPr="00613C4A" w:rsidRDefault="003E76CA" w:rsidP="003E76CA">
            <w:pPr>
              <w:autoSpaceDE w:val="0"/>
              <w:autoSpaceDN w:val="0"/>
              <w:adjustRightInd w:val="0"/>
              <w:ind w:firstLineChars="0" w:firstLine="0"/>
              <w:jc w:val="center"/>
              <w:rPr>
                <w:kern w:val="0"/>
              </w:rPr>
            </w:pPr>
            <w:r w:rsidRPr="00613C4A">
              <w:rPr>
                <w:kern w:val="0"/>
              </w:rPr>
              <w:t>407.846</w:t>
            </w:r>
          </w:p>
        </w:tc>
        <w:tc>
          <w:tcPr>
            <w:tcW w:w="672" w:type="dxa"/>
            <w:vAlign w:val="center"/>
          </w:tcPr>
          <w:p w14:paraId="12CD0338" w14:textId="77777777" w:rsidR="003E76CA" w:rsidRPr="00613C4A" w:rsidRDefault="003E76CA" w:rsidP="003E76CA">
            <w:pPr>
              <w:autoSpaceDE w:val="0"/>
              <w:autoSpaceDN w:val="0"/>
              <w:adjustRightInd w:val="0"/>
              <w:ind w:firstLineChars="0" w:firstLine="0"/>
              <w:jc w:val="center"/>
              <w:rPr>
                <w:kern w:val="0"/>
              </w:rPr>
            </w:pPr>
          </w:p>
        </w:tc>
      </w:tr>
    </w:tbl>
    <w:p w14:paraId="7EB053FB" w14:textId="7EEC1E5D" w:rsidR="00EA70F4" w:rsidRPr="00613C4A" w:rsidRDefault="003E76CA" w:rsidP="00B84538">
      <w:pPr>
        <w:pStyle w:val="a8"/>
        <w:rPr>
          <w:rFonts w:eastAsiaTheme="minorEastAsia"/>
        </w:rPr>
      </w:pPr>
      <w:r w:rsidRPr="00613C4A">
        <w:t>***</w:t>
      </w:r>
      <w:r w:rsidRPr="00613C4A">
        <w:rPr>
          <w:i/>
          <w:iCs/>
        </w:rPr>
        <w:t>p</w:t>
      </w:r>
      <w:r w:rsidRPr="00613C4A">
        <w:t xml:space="preserve"> &lt; 0.01, </w:t>
      </w:r>
      <w:proofErr w:type="spellStart"/>
      <w:r w:rsidR="00B60215" w:rsidRPr="00613C4A">
        <w:rPr>
          <w:rFonts w:cstheme="minorHAnsi"/>
          <w:kern w:val="0"/>
        </w:rPr>
        <w:t>St.Err</w:t>
      </w:r>
      <w:proofErr w:type="spellEnd"/>
      <w:r w:rsidR="00B60215" w:rsidRPr="00613C4A">
        <w:rPr>
          <w:rFonts w:cstheme="minorHAnsi"/>
          <w:kern w:val="0"/>
        </w:rPr>
        <w:t>.:</w:t>
      </w:r>
      <w:r w:rsidR="00B60215" w:rsidRPr="00613C4A">
        <w:t xml:space="preserve"> standard error</w:t>
      </w:r>
      <w:r w:rsidR="00B60215" w:rsidRPr="00613C4A">
        <w:rPr>
          <w:rFonts w:cstheme="minorHAnsi"/>
          <w:kern w:val="0"/>
        </w:rPr>
        <w:t>;</w:t>
      </w:r>
      <w:r w:rsidR="005179B6" w:rsidRPr="00613C4A">
        <w:rPr>
          <w:rFonts w:cstheme="minorHAnsi"/>
          <w:kern w:val="0"/>
        </w:rPr>
        <w:t xml:space="preserve"> </w:t>
      </w:r>
      <w:r w:rsidR="00B60215" w:rsidRPr="00613C4A">
        <w:rPr>
          <w:rFonts w:cstheme="minorHAnsi"/>
          <w:kern w:val="0"/>
        </w:rPr>
        <w:t xml:space="preserve">Conf Interval: confidence interval. var: variable; SD: standard deviation; </w:t>
      </w:r>
      <w:proofErr w:type="spellStart"/>
      <w:r w:rsidR="00B60215" w:rsidRPr="00613C4A">
        <w:rPr>
          <w:rFonts w:cstheme="minorHAnsi"/>
          <w:kern w:val="0"/>
        </w:rPr>
        <w:t>obs</w:t>
      </w:r>
      <w:proofErr w:type="spellEnd"/>
      <w:r w:rsidR="00B60215" w:rsidRPr="00613C4A">
        <w:rPr>
          <w:rFonts w:cstheme="minorHAnsi"/>
          <w:kern w:val="0"/>
        </w:rPr>
        <w:t>: observations.</w:t>
      </w:r>
    </w:p>
    <w:p w14:paraId="1677A03A" w14:textId="1A58694E" w:rsidR="00743856" w:rsidRPr="00613C4A" w:rsidRDefault="00743856">
      <w:pPr>
        <w:ind w:firstLine="420"/>
        <w:rPr>
          <w:rFonts w:eastAsiaTheme="minorEastAsia"/>
        </w:rPr>
      </w:pPr>
    </w:p>
    <w:p w14:paraId="4CCC9553" w14:textId="77777777" w:rsidR="003E76CA" w:rsidRPr="00613C4A" w:rsidRDefault="003E76CA">
      <w:pPr>
        <w:ind w:firstLine="420"/>
        <w:rPr>
          <w:rFonts w:eastAsiaTheme="minorEastAsia"/>
        </w:rPr>
      </w:pPr>
    </w:p>
    <w:sectPr w:rsidR="003E76CA" w:rsidRPr="00613C4A" w:rsidSect="004C578C">
      <w:headerReference w:type="even" r:id="rId11"/>
      <w:headerReference w:type="default" r:id="rId12"/>
      <w:footerReference w:type="even" r:id="rId13"/>
      <w:footerReference w:type="default" r:id="rId14"/>
      <w:headerReference w:type="first" r:id="rId15"/>
      <w:footerReference w:type="first" r:id="rId16"/>
      <w:pgSz w:w="11906" w:h="16838"/>
      <w:pgMar w:top="992" w:right="992" w:bottom="992" w:left="992" w:header="283"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E83D" w14:textId="77777777" w:rsidR="00084C92" w:rsidRDefault="00084C92" w:rsidP="00084C92">
      <w:pPr>
        <w:ind w:firstLine="420"/>
      </w:pPr>
      <w:r>
        <w:separator/>
      </w:r>
    </w:p>
  </w:endnote>
  <w:endnote w:type="continuationSeparator" w:id="0">
    <w:p w14:paraId="7DD6352C" w14:textId="77777777" w:rsidR="00084C92" w:rsidRDefault="00084C92" w:rsidP="00084C9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0000600000000000000"/>
    <w:charset w:val="00"/>
    <w:family w:val="modern"/>
    <w:notTrueType/>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B338" w14:textId="77777777" w:rsidR="00084C92" w:rsidRDefault="00084C9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926742"/>
      <w:docPartObj>
        <w:docPartGallery w:val="Page Numbers (Bottom of Page)"/>
        <w:docPartUnique/>
      </w:docPartObj>
    </w:sdtPr>
    <w:sdtEndPr/>
    <w:sdtContent>
      <w:p w14:paraId="3D0A9A49" w14:textId="59F6A335" w:rsidR="003E76CA" w:rsidRDefault="003E76CA">
        <w:pPr>
          <w:pStyle w:val="a5"/>
          <w:ind w:firstLine="360"/>
          <w:jc w:val="center"/>
        </w:pPr>
        <w:r>
          <w:fldChar w:fldCharType="begin"/>
        </w:r>
        <w:r>
          <w:instrText>PAGE   \* MERGEFORMAT</w:instrText>
        </w:r>
        <w:r>
          <w:fldChar w:fldCharType="separate"/>
        </w:r>
        <w:r w:rsidR="00613C4A" w:rsidRPr="00613C4A">
          <w:rPr>
            <w:noProof/>
            <w:lang w:val="zh-CN"/>
          </w:rPr>
          <w:t>4</w:t>
        </w:r>
        <w:r>
          <w:fldChar w:fldCharType="end"/>
        </w:r>
      </w:p>
    </w:sdtContent>
  </w:sdt>
  <w:p w14:paraId="37251627" w14:textId="77777777" w:rsidR="00084C92" w:rsidRDefault="00084C9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8899" w14:textId="77777777" w:rsidR="00084C92" w:rsidRDefault="00084C9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898D" w14:textId="77777777" w:rsidR="00084C92" w:rsidRDefault="00084C92" w:rsidP="00084C92">
      <w:pPr>
        <w:ind w:firstLine="420"/>
      </w:pPr>
      <w:r>
        <w:separator/>
      </w:r>
    </w:p>
  </w:footnote>
  <w:footnote w:type="continuationSeparator" w:id="0">
    <w:p w14:paraId="26292029" w14:textId="77777777" w:rsidR="00084C92" w:rsidRDefault="00084C92" w:rsidP="00084C9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D7B8" w14:textId="77777777" w:rsidR="00084C92" w:rsidRDefault="00084C92">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194A" w14:textId="77777777" w:rsidR="00084C92" w:rsidRDefault="00084C92" w:rsidP="00084C92">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F056" w14:textId="77777777" w:rsidR="00084C92" w:rsidRDefault="00084C92">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1A69"/>
    <w:multiLevelType w:val="multilevel"/>
    <w:tmpl w:val="C7046524"/>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8C"/>
    <w:rsid w:val="00006E27"/>
    <w:rsid w:val="00064EAF"/>
    <w:rsid w:val="000703FC"/>
    <w:rsid w:val="000759C1"/>
    <w:rsid w:val="00084C92"/>
    <w:rsid w:val="00111AFB"/>
    <w:rsid w:val="00134FD6"/>
    <w:rsid w:val="00182CA9"/>
    <w:rsid w:val="001E6F40"/>
    <w:rsid w:val="00207BBC"/>
    <w:rsid w:val="00234ED0"/>
    <w:rsid w:val="00245C40"/>
    <w:rsid w:val="00252EC2"/>
    <w:rsid w:val="00263B3F"/>
    <w:rsid w:val="002F66BC"/>
    <w:rsid w:val="002F7773"/>
    <w:rsid w:val="0030562D"/>
    <w:rsid w:val="0037260B"/>
    <w:rsid w:val="003B1884"/>
    <w:rsid w:val="003B76FD"/>
    <w:rsid w:val="003D7B6D"/>
    <w:rsid w:val="003E76CA"/>
    <w:rsid w:val="003F7F0C"/>
    <w:rsid w:val="00425263"/>
    <w:rsid w:val="00425AE9"/>
    <w:rsid w:val="004275F1"/>
    <w:rsid w:val="00491967"/>
    <w:rsid w:val="00496BEC"/>
    <w:rsid w:val="004C578C"/>
    <w:rsid w:val="004E3E36"/>
    <w:rsid w:val="005179B6"/>
    <w:rsid w:val="005247CF"/>
    <w:rsid w:val="00534DE3"/>
    <w:rsid w:val="00543896"/>
    <w:rsid w:val="005446B0"/>
    <w:rsid w:val="005A4144"/>
    <w:rsid w:val="005C5DFC"/>
    <w:rsid w:val="005D3005"/>
    <w:rsid w:val="00613C4A"/>
    <w:rsid w:val="0064676D"/>
    <w:rsid w:val="00670709"/>
    <w:rsid w:val="006A146B"/>
    <w:rsid w:val="006A5B9E"/>
    <w:rsid w:val="006C366D"/>
    <w:rsid w:val="006D5C96"/>
    <w:rsid w:val="006D6F7B"/>
    <w:rsid w:val="007032AE"/>
    <w:rsid w:val="00704882"/>
    <w:rsid w:val="00725A2A"/>
    <w:rsid w:val="00726DD6"/>
    <w:rsid w:val="007414CB"/>
    <w:rsid w:val="00743856"/>
    <w:rsid w:val="00745EFF"/>
    <w:rsid w:val="00751366"/>
    <w:rsid w:val="00755E85"/>
    <w:rsid w:val="007652E8"/>
    <w:rsid w:val="007958F9"/>
    <w:rsid w:val="007B72B9"/>
    <w:rsid w:val="007B7477"/>
    <w:rsid w:val="007C118E"/>
    <w:rsid w:val="007C6026"/>
    <w:rsid w:val="007C67FF"/>
    <w:rsid w:val="00813EF7"/>
    <w:rsid w:val="00855221"/>
    <w:rsid w:val="00882AAA"/>
    <w:rsid w:val="00890A0B"/>
    <w:rsid w:val="008B23CD"/>
    <w:rsid w:val="008C171C"/>
    <w:rsid w:val="008C6CAB"/>
    <w:rsid w:val="008D1C38"/>
    <w:rsid w:val="008D3F4E"/>
    <w:rsid w:val="008D4163"/>
    <w:rsid w:val="009015B6"/>
    <w:rsid w:val="009072D3"/>
    <w:rsid w:val="00924EDF"/>
    <w:rsid w:val="009272D7"/>
    <w:rsid w:val="009335B7"/>
    <w:rsid w:val="00997ADE"/>
    <w:rsid w:val="009B09BA"/>
    <w:rsid w:val="009F700B"/>
    <w:rsid w:val="00A10675"/>
    <w:rsid w:val="00A56AFA"/>
    <w:rsid w:val="00A70C85"/>
    <w:rsid w:val="00A75B9F"/>
    <w:rsid w:val="00A90C40"/>
    <w:rsid w:val="00AF5A0D"/>
    <w:rsid w:val="00B05BDD"/>
    <w:rsid w:val="00B35533"/>
    <w:rsid w:val="00B60215"/>
    <w:rsid w:val="00B72697"/>
    <w:rsid w:val="00B84538"/>
    <w:rsid w:val="00BB465B"/>
    <w:rsid w:val="00BF59D7"/>
    <w:rsid w:val="00C72B0C"/>
    <w:rsid w:val="00C76931"/>
    <w:rsid w:val="00C93259"/>
    <w:rsid w:val="00CD7B89"/>
    <w:rsid w:val="00CF22F7"/>
    <w:rsid w:val="00D1022E"/>
    <w:rsid w:val="00D603B6"/>
    <w:rsid w:val="00D9475D"/>
    <w:rsid w:val="00D94836"/>
    <w:rsid w:val="00DA00A7"/>
    <w:rsid w:val="00DA7093"/>
    <w:rsid w:val="00DC3A1F"/>
    <w:rsid w:val="00DE1F4F"/>
    <w:rsid w:val="00DE53A3"/>
    <w:rsid w:val="00E13754"/>
    <w:rsid w:val="00E26CC7"/>
    <w:rsid w:val="00E47C27"/>
    <w:rsid w:val="00E52415"/>
    <w:rsid w:val="00EA70F4"/>
    <w:rsid w:val="00EC66BB"/>
    <w:rsid w:val="00ED248C"/>
    <w:rsid w:val="00EE7B28"/>
    <w:rsid w:val="00EF2A2B"/>
    <w:rsid w:val="00F23F2B"/>
    <w:rsid w:val="00F35F6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7669499"/>
  <w15:chartTrackingRefBased/>
  <w15:docId w15:val="{802AB8F0-2156-4A79-ABBE-2FA634D2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C92"/>
    <w:pPr>
      <w:widowControl w:val="0"/>
      <w:spacing w:after="0" w:line="240" w:lineRule="auto"/>
      <w:ind w:firstLineChars="200" w:firstLine="200"/>
      <w:jc w:val="both"/>
    </w:pPr>
    <w:rPr>
      <w:rFonts w:ascii="Times New Roman" w:eastAsia="Times New Roman" w:hAnsi="Times New Roman" w:cs="Times New Roman"/>
      <w:sz w:val="21"/>
      <w:szCs w:val="21"/>
      <w:lang w:val="en-US" w:eastAsia="zh-CN"/>
      <w14:ligatures w14:val="none"/>
    </w:rPr>
  </w:style>
  <w:style w:type="paragraph" w:styleId="1">
    <w:name w:val="heading 1"/>
    <w:aliases w:val="一级标题"/>
    <w:basedOn w:val="a"/>
    <w:next w:val="a"/>
    <w:link w:val="10"/>
    <w:autoRedefine/>
    <w:uiPriority w:val="1"/>
    <w:qFormat/>
    <w:rsid w:val="00084C92"/>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084C92"/>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084C92"/>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084C92"/>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084C92"/>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84C92"/>
    <w:pPr>
      <w:keepNext/>
      <w:keepLines/>
      <w:numPr>
        <w:ilvl w:val="5"/>
        <w:numId w:val="8"/>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084C92"/>
    <w:pPr>
      <w:keepNext/>
      <w:keepLines/>
      <w:numPr>
        <w:ilvl w:val="6"/>
        <w:numId w:val="8"/>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084C92"/>
    <w:pPr>
      <w:keepNext/>
      <w:keepLines/>
      <w:numPr>
        <w:ilvl w:val="7"/>
        <w:numId w:val="8"/>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084C92"/>
    <w:pPr>
      <w:keepNext/>
      <w:keepLines/>
      <w:numPr>
        <w:ilvl w:val="8"/>
        <w:numId w:val="8"/>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C9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084C92"/>
    <w:rPr>
      <w:rFonts w:ascii="Times New Roman" w:eastAsia="Times New Roman" w:hAnsi="Times New Roman" w:cs="Times New Roman"/>
      <w:sz w:val="18"/>
      <w:szCs w:val="18"/>
      <w:lang w:val="en-US" w:eastAsia="zh-CN"/>
      <w14:ligatures w14:val="none"/>
    </w:rPr>
  </w:style>
  <w:style w:type="paragraph" w:styleId="a5">
    <w:name w:val="footer"/>
    <w:basedOn w:val="a"/>
    <w:link w:val="a6"/>
    <w:uiPriority w:val="99"/>
    <w:unhideWhenUsed/>
    <w:rsid w:val="00084C92"/>
    <w:pPr>
      <w:tabs>
        <w:tab w:val="center" w:pos="4153"/>
        <w:tab w:val="right" w:pos="8306"/>
      </w:tabs>
      <w:snapToGrid w:val="0"/>
      <w:jc w:val="left"/>
    </w:pPr>
    <w:rPr>
      <w:sz w:val="18"/>
      <w:szCs w:val="18"/>
    </w:rPr>
  </w:style>
  <w:style w:type="character" w:customStyle="1" w:styleId="a6">
    <w:name w:val="页脚 字符"/>
    <w:link w:val="a5"/>
    <w:uiPriority w:val="99"/>
    <w:rsid w:val="00084C92"/>
    <w:rPr>
      <w:rFonts w:ascii="Times New Roman" w:eastAsia="Times New Roman" w:hAnsi="Times New Roman" w:cs="Times New Roman"/>
      <w:sz w:val="18"/>
      <w:szCs w:val="18"/>
      <w:lang w:val="en-US" w:eastAsia="zh-CN"/>
      <w14:ligatures w14:val="none"/>
    </w:rPr>
  </w:style>
  <w:style w:type="character" w:customStyle="1" w:styleId="10">
    <w:name w:val="标题 1 字符"/>
    <w:aliases w:val="一级标题 字符"/>
    <w:link w:val="1"/>
    <w:uiPriority w:val="1"/>
    <w:rsid w:val="00084C92"/>
    <w:rPr>
      <w:rFonts w:ascii="Times New Roman" w:eastAsia="Times New Roman" w:hAnsi="Times New Roman" w:cs="Book Antiqua"/>
      <w:b/>
      <w:bCs/>
      <w:kern w:val="0"/>
      <w:sz w:val="24"/>
      <w:szCs w:val="20"/>
      <w:lang w:val="en-US" w:eastAsia="zh-CN"/>
      <w14:ligatures w14:val="none"/>
    </w:rPr>
  </w:style>
  <w:style w:type="character" w:customStyle="1" w:styleId="20">
    <w:name w:val="标题 2 字符"/>
    <w:aliases w:val="二级标题 字符"/>
    <w:link w:val="2"/>
    <w:uiPriority w:val="9"/>
    <w:rsid w:val="00084C92"/>
    <w:rPr>
      <w:rFonts w:ascii="Times New Roman" w:eastAsia="Times New Roman" w:hAnsi="Times New Roman" w:cs="Times New Roman"/>
      <w:b/>
      <w:bCs/>
      <w:i/>
      <w:szCs w:val="21"/>
      <w:lang w:val="en-US" w:eastAsia="zh-CN"/>
      <w14:ligatures w14:val="none"/>
    </w:rPr>
  </w:style>
  <w:style w:type="character" w:customStyle="1" w:styleId="30">
    <w:name w:val="标题 3 字符"/>
    <w:aliases w:val="三级标题 字符"/>
    <w:link w:val="3"/>
    <w:uiPriority w:val="9"/>
    <w:rsid w:val="00084C92"/>
    <w:rPr>
      <w:rFonts w:ascii="Times New Roman" w:eastAsia="Times New Roman" w:hAnsi="Times New Roman" w:cs="Times New Roman"/>
      <w:bCs/>
      <w:i/>
      <w:szCs w:val="32"/>
      <w:lang w:val="en-US" w:eastAsia="zh-CN"/>
      <w14:ligatures w14:val="none"/>
    </w:rPr>
  </w:style>
  <w:style w:type="character" w:customStyle="1" w:styleId="40">
    <w:name w:val="标题 4 字符"/>
    <w:link w:val="4"/>
    <w:uiPriority w:val="9"/>
    <w:rsid w:val="00084C92"/>
    <w:rPr>
      <w:rFonts w:ascii="Calibri Light" w:eastAsia="NimbusRomNo9L" w:hAnsi="Calibri Light" w:cs="NimbusRomNo9L"/>
      <w:b/>
      <w:bCs/>
      <w:kern w:val="0"/>
      <w:sz w:val="28"/>
      <w:szCs w:val="28"/>
      <w:lang w:val="en-US" w:eastAsia="zh-CN"/>
      <w14:ligatures w14:val="none"/>
    </w:rPr>
  </w:style>
  <w:style w:type="character" w:customStyle="1" w:styleId="50">
    <w:name w:val="标题 5 字符"/>
    <w:link w:val="5"/>
    <w:uiPriority w:val="9"/>
    <w:rsid w:val="00084C92"/>
    <w:rPr>
      <w:rFonts w:ascii="Times New Roman" w:eastAsia="Times New Roman" w:hAnsi="Times New Roman" w:cs="Times New Roman"/>
      <w:b/>
      <w:bCs/>
      <w:sz w:val="28"/>
      <w:szCs w:val="28"/>
      <w:lang w:val="en-US" w:eastAsia="zh-CN"/>
      <w14:ligatures w14:val="none"/>
    </w:rPr>
  </w:style>
  <w:style w:type="character" w:customStyle="1" w:styleId="60">
    <w:name w:val="标题 6 字符"/>
    <w:link w:val="6"/>
    <w:uiPriority w:val="9"/>
    <w:rsid w:val="00084C92"/>
    <w:rPr>
      <w:rFonts w:ascii="等线 Light" w:eastAsia="等线 Light" w:hAnsi="等线 Light" w:cs="Times New Roman"/>
      <w:b/>
      <w:bCs/>
      <w:sz w:val="24"/>
      <w:szCs w:val="24"/>
      <w:lang w:val="en-US" w:eastAsia="zh-CN"/>
      <w14:ligatures w14:val="none"/>
    </w:rPr>
  </w:style>
  <w:style w:type="character" w:customStyle="1" w:styleId="70">
    <w:name w:val="标题 7 字符"/>
    <w:link w:val="7"/>
    <w:uiPriority w:val="9"/>
    <w:rsid w:val="00084C92"/>
    <w:rPr>
      <w:rFonts w:ascii="Times New Roman" w:eastAsia="Times New Roman" w:hAnsi="Times New Roman" w:cs="Times New Roman"/>
      <w:b/>
      <w:bCs/>
      <w:sz w:val="24"/>
      <w:szCs w:val="24"/>
      <w:lang w:val="en-US" w:eastAsia="zh-CN"/>
      <w14:ligatures w14:val="none"/>
    </w:rPr>
  </w:style>
  <w:style w:type="character" w:customStyle="1" w:styleId="80">
    <w:name w:val="标题 8 字符"/>
    <w:link w:val="8"/>
    <w:uiPriority w:val="9"/>
    <w:rsid w:val="00084C92"/>
    <w:rPr>
      <w:rFonts w:ascii="等线 Light" w:eastAsia="等线 Light" w:hAnsi="等线 Light" w:cs="Times New Roman"/>
      <w:sz w:val="24"/>
      <w:szCs w:val="24"/>
      <w:lang w:val="en-US" w:eastAsia="zh-CN"/>
      <w14:ligatures w14:val="none"/>
    </w:rPr>
  </w:style>
  <w:style w:type="character" w:customStyle="1" w:styleId="90">
    <w:name w:val="标题 9 字符"/>
    <w:link w:val="9"/>
    <w:uiPriority w:val="9"/>
    <w:semiHidden/>
    <w:rsid w:val="00084C92"/>
    <w:rPr>
      <w:rFonts w:ascii="等线 Light" w:eastAsia="等线 Light" w:hAnsi="等线 Light" w:cs="Times New Roman"/>
      <w:sz w:val="21"/>
      <w:szCs w:val="21"/>
      <w:lang w:val="en-US" w:eastAsia="zh-CN"/>
      <w14:ligatures w14:val="none"/>
    </w:rPr>
  </w:style>
  <w:style w:type="paragraph" w:customStyle="1" w:styleId="a7">
    <w:name w:val="表题"/>
    <w:basedOn w:val="a"/>
    <w:autoRedefine/>
    <w:qFormat/>
    <w:rsid w:val="00743856"/>
    <w:pPr>
      <w:spacing w:beforeLines="100" w:before="240" w:afterLines="100" w:after="240"/>
      <w:ind w:firstLineChars="0" w:firstLine="0"/>
      <w:jc w:val="center"/>
    </w:pPr>
    <w:rPr>
      <w:b/>
    </w:rPr>
  </w:style>
  <w:style w:type="paragraph" w:customStyle="1" w:styleId="a8">
    <w:name w:val="表注"/>
    <w:basedOn w:val="a7"/>
    <w:autoRedefine/>
    <w:qFormat/>
    <w:rsid w:val="00B84538"/>
    <w:pPr>
      <w:adjustRightInd w:val="0"/>
      <w:snapToGrid w:val="0"/>
      <w:spacing w:beforeLines="0" w:before="0" w:afterLines="0" w:after="0"/>
      <w:jc w:val="both"/>
    </w:pPr>
    <w:rPr>
      <w:b w:val="0"/>
    </w:rPr>
  </w:style>
  <w:style w:type="paragraph" w:customStyle="1" w:styleId="a9">
    <w:name w:val="参考文献"/>
    <w:basedOn w:val="a"/>
    <w:autoRedefine/>
    <w:qFormat/>
    <w:rsid w:val="00084C92"/>
    <w:pPr>
      <w:ind w:left="360" w:hangingChars="200" w:hanging="360"/>
    </w:pPr>
    <w:rPr>
      <w:rFonts w:eastAsia="等线"/>
      <w:sz w:val="18"/>
      <w:szCs w:val="24"/>
    </w:rPr>
  </w:style>
  <w:style w:type="paragraph" w:customStyle="1" w:styleId="aa">
    <w:name w:val="稿件类型"/>
    <w:basedOn w:val="a"/>
    <w:autoRedefine/>
    <w:qFormat/>
    <w:rsid w:val="00084C92"/>
    <w:pPr>
      <w:ind w:firstLineChars="0" w:firstLine="0"/>
      <w:jc w:val="left"/>
    </w:pPr>
    <w:rPr>
      <w:rFonts w:eastAsia="宋体"/>
      <w:i/>
      <w:sz w:val="20"/>
    </w:rPr>
  </w:style>
  <w:style w:type="paragraph" w:customStyle="1" w:styleId="ab">
    <w:name w:val="关键词"/>
    <w:basedOn w:val="a"/>
    <w:autoRedefine/>
    <w:qFormat/>
    <w:rsid w:val="00084C92"/>
    <w:pPr>
      <w:ind w:firstLineChars="0" w:firstLine="0"/>
    </w:pPr>
    <w:rPr>
      <w:noProof/>
    </w:rPr>
  </w:style>
  <w:style w:type="character" w:styleId="ac">
    <w:name w:val="line number"/>
    <w:uiPriority w:val="99"/>
    <w:semiHidden/>
    <w:unhideWhenUsed/>
    <w:rsid w:val="00084C92"/>
  </w:style>
  <w:style w:type="paragraph" w:customStyle="1" w:styleId="ad">
    <w:name w:val="机构信息"/>
    <w:basedOn w:val="a"/>
    <w:link w:val="ae"/>
    <w:autoRedefine/>
    <w:qFormat/>
    <w:rsid w:val="00084C92"/>
    <w:pPr>
      <w:ind w:firstLineChars="0" w:firstLine="0"/>
    </w:pPr>
    <w:rPr>
      <w:i/>
    </w:rPr>
  </w:style>
  <w:style w:type="character" w:customStyle="1" w:styleId="ae">
    <w:name w:val="机构信息 字符"/>
    <w:link w:val="ad"/>
    <w:rsid w:val="00084C92"/>
    <w:rPr>
      <w:rFonts w:ascii="Times New Roman" w:eastAsia="Times New Roman" w:hAnsi="Times New Roman" w:cs="Times New Roman"/>
      <w:i/>
      <w:sz w:val="21"/>
      <w:szCs w:val="21"/>
      <w:lang w:val="en-US" w:eastAsia="zh-CN"/>
      <w14:ligatures w14:val="none"/>
    </w:rPr>
  </w:style>
  <w:style w:type="paragraph" w:customStyle="1" w:styleId="af">
    <w:name w:val="接收日期"/>
    <w:basedOn w:val="a"/>
    <w:autoRedefine/>
    <w:qFormat/>
    <w:rsid w:val="00084C92"/>
    <w:pPr>
      <w:ind w:firstLineChars="0" w:firstLine="0"/>
    </w:pPr>
  </w:style>
  <w:style w:type="paragraph" w:styleId="af0">
    <w:name w:val="Normal (Web)"/>
    <w:basedOn w:val="a"/>
    <w:uiPriority w:val="99"/>
    <w:unhideWhenUsed/>
    <w:rsid w:val="00084C92"/>
    <w:pPr>
      <w:spacing w:before="100" w:beforeAutospacing="1" w:after="100" w:afterAutospacing="1"/>
    </w:pPr>
    <w:rPr>
      <w:lang w:eastAsia="en-US"/>
    </w:rPr>
  </w:style>
  <w:style w:type="paragraph" w:customStyle="1" w:styleId="af1">
    <w:name w:val="通讯作者"/>
    <w:basedOn w:val="a"/>
    <w:autoRedefine/>
    <w:qFormat/>
    <w:rsid w:val="00084C92"/>
    <w:pPr>
      <w:ind w:firstLineChars="0" w:firstLine="0"/>
    </w:pPr>
  </w:style>
  <w:style w:type="paragraph" w:customStyle="1" w:styleId="af2">
    <w:name w:val="图注"/>
    <w:basedOn w:val="a8"/>
    <w:autoRedefine/>
    <w:qFormat/>
    <w:rsid w:val="00084C92"/>
    <w:pPr>
      <w:jc w:val="left"/>
    </w:pPr>
    <w:rPr>
      <w:rFonts w:eastAsia="宋体"/>
      <w:b/>
      <w:bCs/>
    </w:rPr>
  </w:style>
  <w:style w:type="table" w:styleId="af3">
    <w:name w:val="Table Grid"/>
    <w:basedOn w:val="a1"/>
    <w:uiPriority w:val="59"/>
    <w:qFormat/>
    <w:rsid w:val="00084C92"/>
    <w:pPr>
      <w:spacing w:after="0" w:line="240" w:lineRule="auto"/>
    </w:pPr>
    <w:rPr>
      <w:rFonts w:ascii="等线" w:eastAsia="等线" w:hAnsi="等线"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文章标题"/>
    <w:basedOn w:val="a"/>
    <w:link w:val="af5"/>
    <w:autoRedefine/>
    <w:qFormat/>
    <w:rsid w:val="00084C92"/>
    <w:pPr>
      <w:kinsoku w:val="0"/>
      <w:overflowPunct w:val="0"/>
      <w:autoSpaceDE w:val="0"/>
      <w:autoSpaceDN w:val="0"/>
      <w:adjustRightInd w:val="0"/>
      <w:ind w:firstLineChars="0" w:firstLine="0"/>
      <w:jc w:val="center"/>
    </w:pPr>
    <w:rPr>
      <w:b/>
      <w:bCs/>
      <w:spacing w:val="-8"/>
      <w:sz w:val="36"/>
      <w:szCs w:val="36"/>
    </w:rPr>
  </w:style>
  <w:style w:type="character" w:customStyle="1" w:styleId="af5">
    <w:name w:val="文章标题 字符"/>
    <w:link w:val="af4"/>
    <w:rsid w:val="00084C92"/>
    <w:rPr>
      <w:rFonts w:ascii="Times New Roman" w:eastAsia="Times New Roman" w:hAnsi="Times New Roman" w:cs="Times New Roman"/>
      <w:b/>
      <w:bCs/>
      <w:spacing w:val="-8"/>
      <w:sz w:val="36"/>
      <w:szCs w:val="36"/>
      <w:lang w:val="en-US" w:eastAsia="zh-CN"/>
      <w14:ligatures w14:val="none"/>
    </w:rPr>
  </w:style>
  <w:style w:type="paragraph" w:customStyle="1" w:styleId="af6">
    <w:name w:val="文章内容"/>
    <w:basedOn w:val="a"/>
    <w:link w:val="af7"/>
    <w:autoRedefine/>
    <w:rsid w:val="00084C92"/>
    <w:pPr>
      <w:ind w:firstLine="420"/>
    </w:pPr>
    <w:rPr>
      <w:color w:val="000000"/>
    </w:rPr>
  </w:style>
  <w:style w:type="character" w:customStyle="1" w:styleId="af7">
    <w:name w:val="文章内容 字符"/>
    <w:link w:val="af6"/>
    <w:rsid w:val="00084C92"/>
    <w:rPr>
      <w:rFonts w:ascii="Times New Roman" w:eastAsia="Times New Roman" w:hAnsi="Times New Roman" w:cs="Times New Roman"/>
      <w:color w:val="000000"/>
      <w:sz w:val="21"/>
      <w:szCs w:val="21"/>
      <w:lang w:val="en-US" w:eastAsia="zh-CN"/>
      <w14:ligatures w14:val="none"/>
    </w:rPr>
  </w:style>
  <w:style w:type="paragraph" w:customStyle="1" w:styleId="af8">
    <w:name w:val="摘要"/>
    <w:basedOn w:val="a"/>
    <w:autoRedefine/>
    <w:qFormat/>
    <w:rsid w:val="00084C92"/>
    <w:pPr>
      <w:ind w:firstLineChars="0" w:firstLine="0"/>
    </w:pPr>
    <w:rPr>
      <w:noProof/>
    </w:rPr>
  </w:style>
  <w:style w:type="character" w:styleId="af9">
    <w:name w:val="Placeholder Text"/>
    <w:uiPriority w:val="99"/>
    <w:semiHidden/>
    <w:rsid w:val="00084C92"/>
    <w:rPr>
      <w:color w:val="808080"/>
    </w:rPr>
  </w:style>
  <w:style w:type="paragraph" w:styleId="afa">
    <w:name w:val="Body Text"/>
    <w:basedOn w:val="a"/>
    <w:link w:val="afb"/>
    <w:autoRedefine/>
    <w:uiPriority w:val="1"/>
    <w:qFormat/>
    <w:rsid w:val="00084C92"/>
    <w:pPr>
      <w:autoSpaceDE w:val="0"/>
      <w:autoSpaceDN w:val="0"/>
      <w:adjustRightInd w:val="0"/>
      <w:ind w:firstLine="420"/>
    </w:pPr>
    <w:rPr>
      <w:kern w:val="0"/>
    </w:rPr>
  </w:style>
  <w:style w:type="character" w:customStyle="1" w:styleId="afb">
    <w:name w:val="正文文本 字符"/>
    <w:link w:val="afa"/>
    <w:uiPriority w:val="1"/>
    <w:rsid w:val="00084C92"/>
    <w:rPr>
      <w:rFonts w:ascii="Times New Roman" w:eastAsia="Times New Roman" w:hAnsi="Times New Roman" w:cs="Times New Roman"/>
      <w:kern w:val="0"/>
      <w:sz w:val="21"/>
      <w:szCs w:val="21"/>
      <w:lang w:val="en-US" w:eastAsia="zh-CN"/>
      <w14:ligatures w14:val="none"/>
    </w:rPr>
  </w:style>
  <w:style w:type="paragraph" w:customStyle="1" w:styleId="afc">
    <w:name w:val="致谢部分"/>
    <w:basedOn w:val="afa"/>
    <w:link w:val="afd"/>
    <w:autoRedefine/>
    <w:qFormat/>
    <w:rsid w:val="00084C92"/>
    <w:pPr>
      <w:ind w:firstLineChars="0" w:firstLine="0"/>
    </w:pPr>
    <w:rPr>
      <w:b/>
      <w:sz w:val="24"/>
      <w:szCs w:val="24"/>
    </w:rPr>
  </w:style>
  <w:style w:type="character" w:customStyle="1" w:styleId="afd">
    <w:name w:val="致谢部分 字符"/>
    <w:link w:val="afc"/>
    <w:rsid w:val="00084C92"/>
    <w:rPr>
      <w:rFonts w:ascii="Times New Roman" w:eastAsia="Times New Roman" w:hAnsi="Times New Roman" w:cs="Times New Roman"/>
      <w:b/>
      <w:kern w:val="0"/>
      <w:sz w:val="24"/>
      <w:szCs w:val="24"/>
      <w:lang w:val="en-US" w:eastAsia="zh-CN"/>
      <w14:ligatures w14:val="none"/>
    </w:rPr>
  </w:style>
  <w:style w:type="paragraph" w:customStyle="1" w:styleId="afe">
    <w:name w:val="作者信息"/>
    <w:basedOn w:val="a"/>
    <w:autoRedefine/>
    <w:qFormat/>
    <w:rsid w:val="00084C92"/>
    <w:pPr>
      <w:ind w:firstLineChars="0" w:firstLine="0"/>
    </w:pPr>
  </w:style>
  <w:style w:type="character" w:styleId="aff">
    <w:name w:val="annotation reference"/>
    <w:basedOn w:val="a0"/>
    <w:unhideWhenUsed/>
    <w:qFormat/>
    <w:rsid w:val="00B84538"/>
    <w:rPr>
      <w:sz w:val="21"/>
      <w:szCs w:val="21"/>
    </w:rPr>
  </w:style>
  <w:style w:type="paragraph" w:styleId="aff0">
    <w:name w:val="annotation text"/>
    <w:basedOn w:val="a"/>
    <w:link w:val="aff1"/>
    <w:uiPriority w:val="99"/>
    <w:unhideWhenUsed/>
    <w:qFormat/>
    <w:rsid w:val="00B84538"/>
    <w:pPr>
      <w:jc w:val="left"/>
    </w:pPr>
  </w:style>
  <w:style w:type="character" w:customStyle="1" w:styleId="aff1">
    <w:name w:val="批注文字 字符"/>
    <w:basedOn w:val="a0"/>
    <w:link w:val="aff0"/>
    <w:uiPriority w:val="99"/>
    <w:qFormat/>
    <w:rsid w:val="00B84538"/>
    <w:rPr>
      <w:rFonts w:ascii="Times New Roman" w:eastAsia="Times New Roman" w:hAnsi="Times New Roman" w:cs="Times New Roman"/>
      <w:sz w:val="21"/>
      <w:szCs w:val="21"/>
      <w:lang w:val="en-US" w:eastAsia="zh-CN"/>
      <w14:ligatures w14:val="none"/>
    </w:rPr>
  </w:style>
  <w:style w:type="paragraph" w:styleId="aff2">
    <w:name w:val="annotation subject"/>
    <w:basedOn w:val="aff0"/>
    <w:next w:val="aff0"/>
    <w:link w:val="aff3"/>
    <w:uiPriority w:val="99"/>
    <w:semiHidden/>
    <w:unhideWhenUsed/>
    <w:rsid w:val="00B84538"/>
    <w:rPr>
      <w:b/>
      <w:bCs/>
    </w:rPr>
  </w:style>
  <w:style w:type="character" w:customStyle="1" w:styleId="aff3">
    <w:name w:val="批注主题 字符"/>
    <w:basedOn w:val="aff1"/>
    <w:link w:val="aff2"/>
    <w:uiPriority w:val="99"/>
    <w:semiHidden/>
    <w:rsid w:val="00B84538"/>
    <w:rPr>
      <w:rFonts w:ascii="Times New Roman" w:eastAsia="Times New Roman" w:hAnsi="Times New Roman" w:cs="Times New Roman"/>
      <w:b/>
      <w:bCs/>
      <w:sz w:val="21"/>
      <w:szCs w:val="21"/>
      <w:lang w:val="en-US" w:eastAsia="zh-CN"/>
      <w14:ligatures w14:val="none"/>
    </w:rPr>
  </w:style>
  <w:style w:type="paragraph" w:styleId="aff4">
    <w:name w:val="Balloon Text"/>
    <w:basedOn w:val="a"/>
    <w:link w:val="aff5"/>
    <w:uiPriority w:val="99"/>
    <w:semiHidden/>
    <w:unhideWhenUsed/>
    <w:rsid w:val="004C578C"/>
    <w:rPr>
      <w:sz w:val="18"/>
      <w:szCs w:val="18"/>
    </w:rPr>
  </w:style>
  <w:style w:type="character" w:customStyle="1" w:styleId="aff5">
    <w:name w:val="批注框文本 字符"/>
    <w:basedOn w:val="a0"/>
    <w:link w:val="aff4"/>
    <w:uiPriority w:val="99"/>
    <w:semiHidden/>
    <w:rsid w:val="004C578C"/>
    <w:rPr>
      <w:rFonts w:ascii="Times New Roman" w:eastAsia="Times New Roman" w:hAnsi="Times New Roman" w:cs="Times New Roman"/>
      <w:sz w:val="18"/>
      <w:szCs w:val="18"/>
      <w:lang w:val="en-US" w:eastAsia="zh-CN"/>
      <w14:ligatures w14:val="none"/>
    </w:rPr>
  </w:style>
  <w:style w:type="paragraph" w:styleId="aff6">
    <w:name w:val="Revision"/>
    <w:hidden/>
    <w:uiPriority w:val="99"/>
    <w:semiHidden/>
    <w:rsid w:val="008D1C38"/>
    <w:pPr>
      <w:spacing w:after="0" w:line="240" w:lineRule="auto"/>
    </w:pPr>
    <w:rPr>
      <w:rFonts w:ascii="Times New Roman" w:eastAsia="Times New Roman" w:hAnsi="Times New Roman" w:cs="Times New Roman"/>
      <w:sz w:val="21"/>
      <w:szCs w:val="21"/>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952</Words>
  <Characters>5647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Melegari</dc:creator>
  <cp:keywords/>
  <dc:description/>
  <cp:lastModifiedBy>Donna</cp:lastModifiedBy>
  <cp:revision>17</cp:revision>
  <dcterms:created xsi:type="dcterms:W3CDTF">2024-08-19T13:28:00Z</dcterms:created>
  <dcterms:modified xsi:type="dcterms:W3CDTF">2024-08-22T02:40:00Z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1016dfc6-fc32-443b-9b6b-e3867dd610b6</vt:lpwstr>
  </property>
</Properties>
</file>